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0D68" w14:textId="7AA7A294" w:rsidR="004F22D7" w:rsidRPr="00312739" w:rsidRDefault="004F22D7" w:rsidP="00B0641C">
      <w:pPr>
        <w:spacing w:after="0"/>
        <w:jc w:val="both"/>
        <w:rPr>
          <w:b/>
          <w:sz w:val="28"/>
          <w:szCs w:val="28"/>
        </w:rPr>
      </w:pPr>
      <w:r w:rsidRPr="00312739">
        <w:rPr>
          <w:b/>
          <w:sz w:val="28"/>
          <w:szCs w:val="28"/>
        </w:rPr>
        <w:t>Diagnostic Test Accuracy Meta-Analysis Worksheet</w:t>
      </w:r>
    </w:p>
    <w:p w14:paraId="1DA6325D" w14:textId="16018065" w:rsidR="004F22D7" w:rsidRDefault="004F22D7" w:rsidP="00B0641C">
      <w:pPr>
        <w:spacing w:after="0"/>
        <w:jc w:val="both"/>
      </w:pPr>
      <w:r>
        <w:t>(Suzanne Freeman</w:t>
      </w:r>
      <w:r w:rsidR="00A355AD">
        <w:t>, Nicola Cooper and Alex Sutton</w:t>
      </w:r>
      <w:r>
        <w:t>)</w:t>
      </w:r>
    </w:p>
    <w:p w14:paraId="54B681F4" w14:textId="77777777" w:rsidR="00A70AA3" w:rsidRDefault="00A70AA3" w:rsidP="00B0641C">
      <w:pPr>
        <w:spacing w:after="0"/>
        <w:jc w:val="both"/>
      </w:pPr>
    </w:p>
    <w:p w14:paraId="11B5A012" w14:textId="77777777" w:rsidR="004F22D7" w:rsidRDefault="004F22D7" w:rsidP="00B0641C">
      <w:pPr>
        <w:spacing w:after="0" w:line="276" w:lineRule="auto"/>
        <w:jc w:val="both"/>
        <w:rPr>
          <w:rStyle w:val="Hyperlink"/>
        </w:rPr>
      </w:pPr>
      <w:r>
        <w:t xml:space="preserve">Diagnostic tests generally comprise of a measure which splits individuals into healthy or diseased. To assess accuracy, a diagnostic test is compared to the “gold standard” test which is assumed to provide the true diagnosis of individuals. There are two parameters which are often used to assess the accuracy of diagnostic tests. Sensitivity is the proportion of patients with the disease correctly diagnosed by the test. Specificity is the proportion of patients without the disease correctly diagnosed by the test. For those new to this topic, an interactive primer on the evaluation of diagnostic test accuracy can be found here: </w:t>
      </w:r>
      <w:hyperlink r:id="rId7" w:history="1">
        <w:r w:rsidRPr="008D0A6E">
          <w:rPr>
            <w:rStyle w:val="Hyperlink"/>
          </w:rPr>
          <w:t>https://crsu.shinyapps.io/diagprimer/</w:t>
        </w:r>
      </w:hyperlink>
      <w:r>
        <w:rPr>
          <w:rStyle w:val="Hyperlink"/>
        </w:rPr>
        <w:t xml:space="preserve">. </w:t>
      </w:r>
    </w:p>
    <w:p w14:paraId="7FCA875C" w14:textId="77777777" w:rsidR="004F22D7" w:rsidRDefault="004F22D7" w:rsidP="00B0641C">
      <w:pPr>
        <w:spacing w:after="0" w:line="276" w:lineRule="auto"/>
        <w:jc w:val="both"/>
        <w:rPr>
          <w:rStyle w:val="Hyperlink"/>
        </w:rPr>
      </w:pPr>
    </w:p>
    <w:p w14:paraId="17B7D6CD" w14:textId="38D839F9" w:rsidR="004F22D7" w:rsidRDefault="004F22D7" w:rsidP="00B0641C">
      <w:pPr>
        <w:spacing w:after="0" w:line="276" w:lineRule="auto"/>
        <w:jc w:val="both"/>
      </w:pPr>
      <w:r>
        <w:t xml:space="preserve">A meta-analysis of diagnostic test accuracy (DTA) studies synthesises both sensitivity and specificity from multiple studies to evaluate the performance of a diagnostic test. The results are often presented either around a mean point or as a summary receiver operating </w:t>
      </w:r>
      <w:r w:rsidR="00533BB4">
        <w:t xml:space="preserve">characteristic (ROC) </w:t>
      </w:r>
      <w:r>
        <w:t xml:space="preserve">curve. </w:t>
      </w:r>
      <w:r w:rsidR="006F493F">
        <w:rPr>
          <w:rFonts w:ascii="Arial" w:hAnsi="Arial" w:cs="Arial"/>
          <w:i/>
        </w:rPr>
        <w:t>MetaDTA</w:t>
      </w:r>
      <w:r>
        <w:t xml:space="preserve"> is a web-based App for conduc</w:t>
      </w:r>
      <w:r w:rsidR="006F493F">
        <w:t>t</w:t>
      </w:r>
      <w:r>
        <w:t xml:space="preserve">ing meta-analysis of diagnostic test accuracy studies. </w:t>
      </w:r>
      <w:r w:rsidR="006F493F" w:rsidRPr="006F493F">
        <w:rPr>
          <w:rFonts w:ascii="Arial" w:hAnsi="Arial" w:cs="Arial"/>
          <w:i/>
        </w:rPr>
        <w:t>MetaDTA</w:t>
      </w:r>
      <w:r>
        <w:t xml:space="preserve"> produces summary ROC plots, and pooled estimates for sensitivity and specificity together with un</w:t>
      </w:r>
      <w:r w:rsidR="006F493F">
        <w:t>certainty in their estimation and</w:t>
      </w:r>
      <w:r>
        <w:t xml:space="preserve"> can also be used to aid sensitivity analyses by excluding studies.</w:t>
      </w:r>
    </w:p>
    <w:p w14:paraId="02B82C0D" w14:textId="77777777" w:rsidR="004F22D7" w:rsidRDefault="004F22D7" w:rsidP="00B0641C">
      <w:pPr>
        <w:spacing w:after="0"/>
        <w:jc w:val="both"/>
      </w:pPr>
    </w:p>
    <w:p w14:paraId="6E7E9D53" w14:textId="77777777" w:rsidR="004F22D7" w:rsidRDefault="004F22D7" w:rsidP="00B0641C">
      <w:pPr>
        <w:spacing w:after="0"/>
        <w:jc w:val="both"/>
      </w:pPr>
      <w:r>
        <w:t>After completing this worksheet, you should be able to:</w:t>
      </w:r>
    </w:p>
    <w:p w14:paraId="0A66789C" w14:textId="5E16F617" w:rsidR="004F22D7" w:rsidRDefault="004F22D7" w:rsidP="00B0641C">
      <w:pPr>
        <w:pStyle w:val="ListParagraph"/>
        <w:numPr>
          <w:ilvl w:val="0"/>
          <w:numId w:val="7"/>
        </w:numPr>
        <w:spacing w:after="0"/>
        <w:jc w:val="both"/>
      </w:pPr>
      <w:r>
        <w:t>Use</w:t>
      </w:r>
      <w:r w:rsidR="006F493F">
        <w:t xml:space="preserve"> </w:t>
      </w:r>
      <w:r w:rsidR="006F493F" w:rsidRPr="006F493F">
        <w:rPr>
          <w:rFonts w:ascii="Arial" w:hAnsi="Arial" w:cs="Arial"/>
          <w:i/>
        </w:rPr>
        <w:t>MetaDTA</w:t>
      </w:r>
      <w:r w:rsidR="006F493F">
        <w:t xml:space="preserve"> </w:t>
      </w:r>
      <w:r>
        <w:t>to perform a meta-analysis of diagnostic test accuracy studies, obtain pooled estimates of sensitivity and specificity and interpret the results</w:t>
      </w:r>
    </w:p>
    <w:p w14:paraId="182DC208" w14:textId="4DDA70E5" w:rsidR="004F22D7" w:rsidRDefault="004F22D7" w:rsidP="00B0641C">
      <w:pPr>
        <w:pStyle w:val="ListParagraph"/>
        <w:numPr>
          <w:ilvl w:val="0"/>
          <w:numId w:val="7"/>
        </w:numPr>
        <w:spacing w:after="0"/>
        <w:jc w:val="both"/>
      </w:pPr>
      <w:r>
        <w:t xml:space="preserve">Use </w:t>
      </w:r>
      <w:r w:rsidR="006F493F" w:rsidRPr="006F493F">
        <w:rPr>
          <w:rFonts w:ascii="Arial" w:hAnsi="Arial" w:cs="Arial"/>
          <w:i/>
        </w:rPr>
        <w:t>MetaDTA</w:t>
      </w:r>
      <w:r>
        <w:t xml:space="preserve"> to produce and download a summary ROC plot </w:t>
      </w:r>
    </w:p>
    <w:p w14:paraId="2E7959B7" w14:textId="60EF5B6B" w:rsidR="004F22D7" w:rsidRDefault="004F22D7" w:rsidP="00B0641C">
      <w:pPr>
        <w:pStyle w:val="ListParagraph"/>
        <w:numPr>
          <w:ilvl w:val="0"/>
          <w:numId w:val="7"/>
        </w:numPr>
        <w:spacing w:after="0"/>
        <w:jc w:val="both"/>
      </w:pPr>
      <w:r>
        <w:t xml:space="preserve">Use </w:t>
      </w:r>
      <w:r w:rsidR="006F493F" w:rsidRPr="006F493F">
        <w:rPr>
          <w:rFonts w:ascii="Arial" w:hAnsi="Arial" w:cs="Arial"/>
          <w:i/>
        </w:rPr>
        <w:t>MetaDTA</w:t>
      </w:r>
      <w:r>
        <w:t xml:space="preserve"> to examine the influence of studies when they are included and excluded in a sensitivity analysis</w:t>
      </w:r>
    </w:p>
    <w:p w14:paraId="70F9DD1A" w14:textId="77777777" w:rsidR="001F1067" w:rsidRDefault="001F1067" w:rsidP="00B0641C">
      <w:pPr>
        <w:spacing w:after="0"/>
        <w:jc w:val="both"/>
        <w:rPr>
          <w:color w:val="1F497D"/>
        </w:rPr>
      </w:pPr>
    </w:p>
    <w:p w14:paraId="7E1210EA" w14:textId="1FB4306E" w:rsidR="001F1067" w:rsidRDefault="006F493F" w:rsidP="00B0641C">
      <w:pPr>
        <w:spacing w:after="0"/>
        <w:jc w:val="both"/>
      </w:pPr>
      <w:r w:rsidRPr="006F493F">
        <w:rPr>
          <w:rFonts w:ascii="Arial" w:hAnsi="Arial" w:cs="Arial"/>
          <w:i/>
        </w:rPr>
        <w:t>MetaDTA</w:t>
      </w:r>
      <w:r w:rsidR="001F1067">
        <w:t xml:space="preserve"> can be accessed from: </w:t>
      </w:r>
      <w:hyperlink r:id="rId8" w:history="1">
        <w:r w:rsidR="001F1067">
          <w:rPr>
            <w:rStyle w:val="Hyperlink"/>
          </w:rPr>
          <w:t>https://crsu.shinyapps.io/dta_ma/</w:t>
        </w:r>
      </w:hyperlink>
      <w:r>
        <w:t xml:space="preserve">. </w:t>
      </w:r>
      <w:r w:rsidR="00B0641C">
        <w:t>A copy of the user guide can be downloaded from the home page.</w:t>
      </w:r>
    </w:p>
    <w:p w14:paraId="55CE682A" w14:textId="6A7EE6BA" w:rsidR="006F493F" w:rsidRDefault="006F493F" w:rsidP="00B0641C">
      <w:pPr>
        <w:spacing w:after="0"/>
        <w:jc w:val="both"/>
      </w:pPr>
    </w:p>
    <w:p w14:paraId="227FCBD3" w14:textId="77777777" w:rsidR="000E0783" w:rsidRDefault="000E0783" w:rsidP="000E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Courier New"/>
          <w:color w:val="000000"/>
          <w:lang w:eastAsia="en-GB"/>
        </w:rPr>
      </w:pPr>
      <w:r w:rsidRPr="00EC288E">
        <w:rPr>
          <w:rFonts w:eastAsia="Times New Roman" w:cs="Courier New"/>
          <w:color w:val="000000"/>
          <w:lang w:eastAsia="en-GB"/>
        </w:rPr>
        <w:t xml:space="preserve">MetaDTA </w:t>
      </w:r>
      <w:r>
        <w:rPr>
          <w:rFonts w:eastAsia="Times New Roman" w:cs="Courier New"/>
          <w:color w:val="000000"/>
          <w:lang w:eastAsia="en-GB"/>
        </w:rPr>
        <w:t>has</w:t>
      </w:r>
      <w:r w:rsidRPr="00EC288E">
        <w:rPr>
          <w:rFonts w:eastAsia="Times New Roman" w:cs="Courier New"/>
          <w:color w:val="000000"/>
          <w:lang w:eastAsia="en-GB"/>
        </w:rPr>
        <w:t xml:space="preserve"> four inbuilt datasets which can be used to familiarise yourse</w:t>
      </w:r>
      <w:r>
        <w:rPr>
          <w:rFonts w:eastAsia="Times New Roman" w:cs="Courier New"/>
          <w:color w:val="000000"/>
          <w:lang w:eastAsia="en-GB"/>
        </w:rPr>
        <w:t xml:space="preserve">lf with the features of MetaDTA. The four datasets are also available </w:t>
      </w:r>
      <w:r w:rsidRPr="00EC288E">
        <w:rPr>
          <w:rFonts w:eastAsia="Times New Roman" w:cs="Courier New"/>
          <w:color w:val="000000"/>
          <w:lang w:eastAsia="en-GB"/>
        </w:rPr>
        <w:t xml:space="preserve">to download in </w:t>
      </w:r>
      <w:r>
        <w:rPr>
          <w:rFonts w:eastAsia="Times New Roman" w:cs="Courier New"/>
          <w:color w:val="000000"/>
          <w:lang w:eastAsia="en-GB"/>
        </w:rPr>
        <w:t>csv</w:t>
      </w:r>
      <w:r w:rsidRPr="00EC288E">
        <w:rPr>
          <w:rFonts w:eastAsia="Times New Roman" w:cs="Courier New"/>
          <w:color w:val="000000"/>
          <w:lang w:eastAsia="en-GB"/>
        </w:rPr>
        <w:t xml:space="preserve"> format </w:t>
      </w:r>
      <w:r>
        <w:rPr>
          <w:rFonts w:eastAsia="Times New Roman" w:cs="Courier New"/>
          <w:color w:val="000000"/>
          <w:lang w:eastAsia="en-GB"/>
        </w:rPr>
        <w:t xml:space="preserve">and can be used </w:t>
      </w:r>
      <w:r w:rsidRPr="00EC288E">
        <w:rPr>
          <w:rFonts w:eastAsia="Times New Roman" w:cs="Courier New"/>
          <w:color w:val="000000"/>
          <w:lang w:eastAsia="en-GB"/>
        </w:rPr>
        <w:t xml:space="preserve">to </w:t>
      </w:r>
      <w:r>
        <w:rPr>
          <w:rFonts w:eastAsia="Times New Roman" w:cs="Courier New"/>
          <w:color w:val="000000"/>
          <w:lang w:eastAsia="en-GB"/>
        </w:rPr>
        <w:t xml:space="preserve">help </w:t>
      </w:r>
      <w:r w:rsidRPr="00EC288E">
        <w:rPr>
          <w:rFonts w:eastAsia="Times New Roman" w:cs="Courier New"/>
          <w:color w:val="000000"/>
          <w:lang w:eastAsia="en-GB"/>
        </w:rPr>
        <w:t>ensure</w:t>
      </w:r>
      <w:r>
        <w:rPr>
          <w:rFonts w:eastAsia="Times New Roman" w:cs="Courier New"/>
          <w:color w:val="000000"/>
          <w:lang w:eastAsia="en-GB"/>
        </w:rPr>
        <w:t xml:space="preserve"> that</w:t>
      </w:r>
      <w:r w:rsidRPr="00EC288E">
        <w:rPr>
          <w:rFonts w:eastAsia="Times New Roman" w:cs="Courier New"/>
          <w:color w:val="000000"/>
          <w:lang w:eastAsia="en-GB"/>
        </w:rPr>
        <w:t xml:space="preserve"> your own data is in the correct format for upload to MetaDTA. These datasets can be accessed from the grey box on the Load Data page.</w:t>
      </w:r>
      <w:r>
        <w:rPr>
          <w:rFonts w:eastAsia="Times New Roman" w:cs="Courier New"/>
          <w:color w:val="000000"/>
          <w:lang w:eastAsia="en-GB"/>
        </w:rPr>
        <w:t xml:space="preserve"> The example datasets come from a </w:t>
      </w:r>
      <w:r w:rsidRPr="00B95312">
        <w:rPr>
          <w:rFonts w:eastAsia="Times New Roman" w:cs="Courier New"/>
          <w:color w:val="000000"/>
          <w:lang w:eastAsia="en-GB"/>
        </w:rPr>
        <w:t>systematic review investigating the accuracy of an informant-based questionnaire, for detection of all cause dementia in adults. The dataset</w:t>
      </w:r>
      <w:r>
        <w:rPr>
          <w:rFonts w:eastAsia="Times New Roman" w:cs="Courier New"/>
          <w:color w:val="000000"/>
          <w:lang w:eastAsia="en-GB"/>
        </w:rPr>
        <w:t>s consist</w:t>
      </w:r>
      <w:r w:rsidRPr="00B95312">
        <w:rPr>
          <w:rFonts w:eastAsia="Times New Roman" w:cs="Courier New"/>
          <w:color w:val="000000"/>
          <w:lang w:eastAsia="en-GB"/>
        </w:rPr>
        <w:t xml:space="preserve"> of thirteen studies assessing the use of the IQCODE (Informant Questionnaire on Cognitive Decline in the Elderly) tool for identifying adults with dementia within a secondary care setting.</w:t>
      </w:r>
      <w:r>
        <w:rPr>
          <w:rFonts w:eastAsia="Times New Roman" w:cs="Courier New"/>
          <w:color w:val="000000"/>
          <w:lang w:eastAsia="en-GB"/>
        </w:rPr>
        <w:t xml:space="preserve"> </w:t>
      </w:r>
    </w:p>
    <w:p w14:paraId="1BBB2B81" w14:textId="77777777" w:rsidR="000E0783" w:rsidRDefault="000E0783" w:rsidP="000E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Courier New"/>
          <w:color w:val="000000"/>
          <w:lang w:eastAsia="en-GB"/>
        </w:rPr>
      </w:pPr>
    </w:p>
    <w:p w14:paraId="7680C322" w14:textId="20DD41BB" w:rsidR="000E0783" w:rsidRPr="00EE0A2C" w:rsidRDefault="000E0783" w:rsidP="000E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Courier New"/>
          <w:color w:val="000000"/>
          <w:lang w:eastAsia="en-GB"/>
        </w:rPr>
      </w:pPr>
      <w:r w:rsidRPr="00B95312">
        <w:rPr>
          <w:rFonts w:eastAsia="Times New Roman" w:cs="Courier New"/>
          <w:color w:val="000000"/>
          <w:lang w:eastAsia="en-GB"/>
        </w:rPr>
        <w:t xml:space="preserve">The IQCODE tool contains a number of questions which are scored on a five point scale. The IQCODE tool has a number of different variants, depending on how many questions are asked. The questions are based on the performance of everyday tasks related to cognitive function. These are then rated on a scale of 1-5. The final score is an average score for each question. </w:t>
      </w:r>
      <w:r>
        <w:rPr>
          <w:rFonts w:eastAsia="Times New Roman" w:cs="Courier New"/>
          <w:color w:val="000000"/>
          <w:lang w:eastAsia="en-GB"/>
        </w:rPr>
        <w:t>The threshold used in each study is included as a covariate</w:t>
      </w:r>
      <w:r w:rsidRPr="00E90D1B">
        <w:rPr>
          <w:rFonts w:eastAsia="Times New Roman" w:cs="Courier New"/>
          <w:color w:val="000000"/>
          <w:lang w:eastAsia="en-GB"/>
        </w:rPr>
        <w:t>. The IQCODE tool is only a screening tool and does not offer a definitive diagnosis of dementia. A high value</w:t>
      </w:r>
      <w:r>
        <w:rPr>
          <w:rFonts w:eastAsia="Times New Roman" w:cs="Courier New"/>
          <w:color w:val="000000"/>
          <w:lang w:eastAsia="en-GB"/>
        </w:rPr>
        <w:t xml:space="preserve"> on the IQCODE tool is taken to indicate that a patient is at risk of dementia and further clinical investigations are needed for diagnosis.</w:t>
      </w:r>
    </w:p>
    <w:p w14:paraId="44CAF64C" w14:textId="77777777" w:rsidR="000E0783" w:rsidRDefault="000E0783" w:rsidP="000E0783">
      <w:pPr>
        <w:spacing w:after="0"/>
        <w:jc w:val="both"/>
      </w:pPr>
    </w:p>
    <w:p w14:paraId="3957A0B2" w14:textId="77777777" w:rsidR="000E0783" w:rsidRDefault="000E0783" w:rsidP="000E0783">
      <w:pPr>
        <w:spacing w:after="0"/>
        <w:jc w:val="both"/>
      </w:pPr>
      <w:r>
        <w:t>Start by selecting the ‘With Quality Assessment and Covariates’ dataset from the grey box on the left hand side of the ‘Load Data’ page and then use this dataset to complete the following questions:</w:t>
      </w:r>
    </w:p>
    <w:p w14:paraId="71BC9365" w14:textId="77777777" w:rsidR="000E0783" w:rsidRDefault="000E0783" w:rsidP="000E0783">
      <w:pPr>
        <w:spacing w:after="0"/>
        <w:jc w:val="both"/>
      </w:pPr>
    </w:p>
    <w:p w14:paraId="6A6F7583" w14:textId="77777777" w:rsidR="000E0783" w:rsidRDefault="000E0783" w:rsidP="000E0783">
      <w:pPr>
        <w:pStyle w:val="ListParagraph"/>
        <w:numPr>
          <w:ilvl w:val="0"/>
          <w:numId w:val="3"/>
        </w:numPr>
        <w:spacing w:after="0"/>
        <w:jc w:val="both"/>
      </w:pPr>
      <w:r>
        <w:t>Click on the ‘Load Data’ page and select the ‘Data for Analysis’ tab. Check you understand the data that is loaded and ready for analysis. (Optional: Calculate sensitivity by hand for Flicker and check your result using the ‘Study-level Outcomes’ tab on the ‘Meta-Analysis’ page).</w:t>
      </w:r>
    </w:p>
    <w:p w14:paraId="47CA3637" w14:textId="77777777" w:rsidR="005A66AE" w:rsidRDefault="005A66AE" w:rsidP="00B0641C">
      <w:pPr>
        <w:spacing w:after="0"/>
        <w:jc w:val="both"/>
      </w:pPr>
    </w:p>
    <w:p w14:paraId="4CCDFC68" w14:textId="77777777" w:rsidR="00C07960" w:rsidRDefault="00C07960" w:rsidP="00B0641C">
      <w:pPr>
        <w:pStyle w:val="ListParagraph"/>
        <w:numPr>
          <w:ilvl w:val="0"/>
          <w:numId w:val="3"/>
        </w:numPr>
        <w:spacing w:after="0"/>
        <w:jc w:val="both"/>
      </w:pPr>
      <w:r>
        <w:t>a) Use the ‘Study-level Outcomes’ tab on the ‘Meta-Analysis’ page to complete the following table:</w:t>
      </w:r>
    </w:p>
    <w:p w14:paraId="1559092F" w14:textId="77777777" w:rsidR="00C07960" w:rsidRDefault="00C07960" w:rsidP="00B0641C">
      <w:pPr>
        <w:spacing w:after="0"/>
        <w:jc w:val="both"/>
      </w:pPr>
    </w:p>
    <w:tbl>
      <w:tblPr>
        <w:tblStyle w:val="TableGrid"/>
        <w:tblW w:w="9185" w:type="dxa"/>
        <w:tblLook w:val="04A0" w:firstRow="1" w:lastRow="0" w:firstColumn="1" w:lastColumn="0" w:noHBand="0" w:noVBand="1"/>
      </w:tblPr>
      <w:tblGrid>
        <w:gridCol w:w="2772"/>
        <w:gridCol w:w="1920"/>
        <w:gridCol w:w="2252"/>
        <w:gridCol w:w="2241"/>
      </w:tblGrid>
      <w:tr w:rsidR="00C07960" w:rsidRPr="00956A2A" w14:paraId="0EE4F946" w14:textId="77777777" w:rsidTr="000E0783">
        <w:trPr>
          <w:trHeight w:val="469"/>
        </w:trPr>
        <w:tc>
          <w:tcPr>
            <w:tcW w:w="2772" w:type="dxa"/>
            <w:noWrap/>
            <w:hideMark/>
          </w:tcPr>
          <w:p w14:paraId="13C21D07" w14:textId="77777777" w:rsidR="00C07960" w:rsidRPr="00956A2A" w:rsidRDefault="00C07960" w:rsidP="00B0641C">
            <w:pPr>
              <w:jc w:val="both"/>
              <w:rPr>
                <w:rFonts w:ascii="Calibri" w:eastAsia="Times New Roman" w:hAnsi="Calibri" w:cs="Times New Roman"/>
                <w:b/>
                <w:color w:val="000000"/>
                <w:lang w:eastAsia="en-GB"/>
              </w:rPr>
            </w:pPr>
            <w:r w:rsidRPr="00956A2A">
              <w:rPr>
                <w:rFonts w:ascii="Calibri" w:eastAsia="Times New Roman" w:hAnsi="Calibri" w:cs="Times New Roman"/>
                <w:b/>
                <w:color w:val="000000"/>
                <w:lang w:eastAsia="en-GB"/>
              </w:rPr>
              <w:t>Author</w:t>
            </w:r>
          </w:p>
        </w:tc>
        <w:tc>
          <w:tcPr>
            <w:tcW w:w="1920" w:type="dxa"/>
            <w:noWrap/>
            <w:hideMark/>
          </w:tcPr>
          <w:p w14:paraId="18E05DED" w14:textId="77777777" w:rsidR="00C07960" w:rsidRPr="00956A2A" w:rsidRDefault="00C07960" w:rsidP="00B0641C">
            <w:pPr>
              <w:jc w:val="both"/>
              <w:rPr>
                <w:rFonts w:ascii="Calibri" w:eastAsia="Times New Roman" w:hAnsi="Calibri" w:cs="Times New Roman"/>
                <w:b/>
                <w:color w:val="000000"/>
                <w:lang w:eastAsia="en-GB"/>
              </w:rPr>
            </w:pPr>
            <w:r w:rsidRPr="00956A2A">
              <w:rPr>
                <w:rFonts w:ascii="Calibri" w:eastAsia="Times New Roman" w:hAnsi="Calibri" w:cs="Times New Roman"/>
                <w:b/>
                <w:color w:val="000000"/>
                <w:lang w:eastAsia="en-GB"/>
              </w:rPr>
              <w:t>Year</w:t>
            </w:r>
          </w:p>
        </w:tc>
        <w:tc>
          <w:tcPr>
            <w:tcW w:w="2252" w:type="dxa"/>
            <w:noWrap/>
            <w:hideMark/>
          </w:tcPr>
          <w:p w14:paraId="72801267" w14:textId="77777777" w:rsidR="00C07960" w:rsidRPr="00956A2A" w:rsidRDefault="00C07960" w:rsidP="00B0641C">
            <w:pPr>
              <w:jc w:val="both"/>
              <w:rPr>
                <w:rFonts w:ascii="Calibri" w:eastAsia="Times New Roman" w:hAnsi="Calibri" w:cs="Times New Roman"/>
                <w:b/>
                <w:color w:val="000000"/>
                <w:lang w:eastAsia="en-GB"/>
              </w:rPr>
            </w:pPr>
            <w:r w:rsidRPr="00956A2A">
              <w:rPr>
                <w:rFonts w:ascii="Calibri" w:eastAsia="Times New Roman" w:hAnsi="Calibri" w:cs="Times New Roman"/>
                <w:b/>
                <w:color w:val="000000"/>
                <w:lang w:eastAsia="en-GB"/>
              </w:rPr>
              <w:t>Sensitivity</w:t>
            </w:r>
          </w:p>
        </w:tc>
        <w:tc>
          <w:tcPr>
            <w:tcW w:w="2241" w:type="dxa"/>
            <w:noWrap/>
            <w:hideMark/>
          </w:tcPr>
          <w:p w14:paraId="364EFA4C" w14:textId="77777777" w:rsidR="00C07960" w:rsidRPr="00956A2A" w:rsidRDefault="00C07960" w:rsidP="00B0641C">
            <w:pPr>
              <w:jc w:val="both"/>
              <w:rPr>
                <w:rFonts w:ascii="Calibri" w:eastAsia="Times New Roman" w:hAnsi="Calibri" w:cs="Times New Roman"/>
                <w:b/>
                <w:color w:val="000000"/>
                <w:lang w:eastAsia="en-GB"/>
              </w:rPr>
            </w:pPr>
            <w:r w:rsidRPr="00956A2A">
              <w:rPr>
                <w:rFonts w:ascii="Calibri" w:eastAsia="Times New Roman" w:hAnsi="Calibri" w:cs="Times New Roman"/>
                <w:b/>
                <w:color w:val="000000"/>
                <w:lang w:eastAsia="en-GB"/>
              </w:rPr>
              <w:t>Specificity</w:t>
            </w:r>
          </w:p>
        </w:tc>
      </w:tr>
      <w:tr w:rsidR="0011696D" w:rsidRPr="00956A2A" w14:paraId="5D682660" w14:textId="77777777" w:rsidTr="000E0783">
        <w:trPr>
          <w:trHeight w:val="469"/>
        </w:trPr>
        <w:tc>
          <w:tcPr>
            <w:tcW w:w="2772" w:type="dxa"/>
            <w:noWrap/>
            <w:hideMark/>
          </w:tcPr>
          <w:p w14:paraId="013BA6BC" w14:textId="5D002EE9" w:rsidR="0011696D" w:rsidRPr="00956A2A" w:rsidRDefault="0011696D" w:rsidP="0011696D">
            <w:pPr>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Flicker</w:t>
            </w:r>
          </w:p>
        </w:tc>
        <w:tc>
          <w:tcPr>
            <w:tcW w:w="1920" w:type="dxa"/>
            <w:noWrap/>
            <w:vAlign w:val="bottom"/>
            <w:hideMark/>
          </w:tcPr>
          <w:p w14:paraId="68782587" w14:textId="3F2E7314" w:rsidR="0011696D" w:rsidRPr="00956A2A" w:rsidRDefault="0011696D" w:rsidP="0011696D">
            <w:pPr>
              <w:jc w:val="both"/>
              <w:rPr>
                <w:rFonts w:ascii="Calibri" w:eastAsia="Times New Roman" w:hAnsi="Calibri" w:cs="Times New Roman"/>
                <w:color w:val="000000"/>
                <w:lang w:eastAsia="en-GB"/>
              </w:rPr>
            </w:pPr>
            <w:r>
              <w:rPr>
                <w:rFonts w:ascii="Calibri" w:hAnsi="Calibri"/>
                <w:color w:val="000000"/>
              </w:rPr>
              <w:t>1997</w:t>
            </w:r>
          </w:p>
        </w:tc>
        <w:tc>
          <w:tcPr>
            <w:tcW w:w="2252" w:type="dxa"/>
            <w:noWrap/>
            <w:vAlign w:val="bottom"/>
          </w:tcPr>
          <w:p w14:paraId="6444A4D4" w14:textId="70434048" w:rsidR="0011696D" w:rsidRPr="00956A2A" w:rsidRDefault="0011696D" w:rsidP="0011696D">
            <w:pPr>
              <w:jc w:val="both"/>
              <w:rPr>
                <w:rFonts w:ascii="Calibri" w:eastAsia="Times New Roman" w:hAnsi="Calibri" w:cs="Times New Roman"/>
                <w:color w:val="000000"/>
                <w:lang w:eastAsia="en-GB"/>
              </w:rPr>
            </w:pPr>
          </w:p>
        </w:tc>
        <w:tc>
          <w:tcPr>
            <w:tcW w:w="2241" w:type="dxa"/>
            <w:noWrap/>
            <w:vAlign w:val="bottom"/>
          </w:tcPr>
          <w:p w14:paraId="387436D4" w14:textId="50FC0B1D" w:rsidR="0011696D" w:rsidRPr="00956A2A" w:rsidRDefault="0011696D" w:rsidP="0011696D">
            <w:pPr>
              <w:jc w:val="both"/>
              <w:rPr>
                <w:rFonts w:ascii="Calibri" w:eastAsia="Times New Roman" w:hAnsi="Calibri" w:cs="Times New Roman"/>
                <w:color w:val="000000"/>
                <w:lang w:eastAsia="en-GB"/>
              </w:rPr>
            </w:pPr>
          </w:p>
        </w:tc>
      </w:tr>
      <w:tr w:rsidR="0011696D" w:rsidRPr="00956A2A" w14:paraId="71D721B5" w14:textId="77777777" w:rsidTr="000E0783">
        <w:trPr>
          <w:trHeight w:val="469"/>
        </w:trPr>
        <w:tc>
          <w:tcPr>
            <w:tcW w:w="2772" w:type="dxa"/>
            <w:noWrap/>
            <w:hideMark/>
          </w:tcPr>
          <w:p w14:paraId="7F951606" w14:textId="00C4AB7F" w:rsidR="0011696D" w:rsidRPr="00956A2A" w:rsidRDefault="0011696D" w:rsidP="0011696D">
            <w:pPr>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Garcia</w:t>
            </w:r>
          </w:p>
        </w:tc>
        <w:tc>
          <w:tcPr>
            <w:tcW w:w="1920" w:type="dxa"/>
            <w:noWrap/>
            <w:vAlign w:val="bottom"/>
            <w:hideMark/>
          </w:tcPr>
          <w:p w14:paraId="157AECA1" w14:textId="7E87708B" w:rsidR="0011696D" w:rsidRPr="00956A2A" w:rsidRDefault="0011696D" w:rsidP="0011696D">
            <w:pPr>
              <w:jc w:val="both"/>
              <w:rPr>
                <w:rFonts w:ascii="Calibri" w:eastAsia="Times New Roman" w:hAnsi="Calibri" w:cs="Times New Roman"/>
                <w:color w:val="000000"/>
                <w:lang w:eastAsia="en-GB"/>
              </w:rPr>
            </w:pPr>
            <w:r>
              <w:rPr>
                <w:rFonts w:ascii="Calibri" w:hAnsi="Calibri"/>
                <w:color w:val="000000"/>
              </w:rPr>
              <w:t>2002</w:t>
            </w:r>
          </w:p>
        </w:tc>
        <w:tc>
          <w:tcPr>
            <w:tcW w:w="2252" w:type="dxa"/>
            <w:noWrap/>
            <w:vAlign w:val="bottom"/>
          </w:tcPr>
          <w:p w14:paraId="27D48720" w14:textId="05668192" w:rsidR="0011696D" w:rsidRPr="00956A2A" w:rsidRDefault="0011696D" w:rsidP="0011696D">
            <w:pPr>
              <w:jc w:val="both"/>
              <w:rPr>
                <w:rFonts w:ascii="Calibri" w:eastAsia="Times New Roman" w:hAnsi="Calibri" w:cs="Times New Roman"/>
                <w:color w:val="000000"/>
                <w:lang w:eastAsia="en-GB"/>
              </w:rPr>
            </w:pPr>
          </w:p>
        </w:tc>
        <w:tc>
          <w:tcPr>
            <w:tcW w:w="2241" w:type="dxa"/>
            <w:noWrap/>
            <w:vAlign w:val="bottom"/>
          </w:tcPr>
          <w:p w14:paraId="1F5097AA" w14:textId="5F0607CF" w:rsidR="0011696D" w:rsidRPr="00956A2A" w:rsidRDefault="0011696D" w:rsidP="0011696D">
            <w:pPr>
              <w:jc w:val="both"/>
              <w:rPr>
                <w:rFonts w:ascii="Calibri" w:eastAsia="Times New Roman" w:hAnsi="Calibri" w:cs="Times New Roman"/>
                <w:color w:val="000000"/>
                <w:lang w:eastAsia="en-GB"/>
              </w:rPr>
            </w:pPr>
          </w:p>
        </w:tc>
      </w:tr>
      <w:tr w:rsidR="0011696D" w:rsidRPr="00956A2A" w14:paraId="2EAC2126" w14:textId="77777777" w:rsidTr="000E0783">
        <w:trPr>
          <w:trHeight w:val="469"/>
        </w:trPr>
        <w:tc>
          <w:tcPr>
            <w:tcW w:w="2772" w:type="dxa"/>
            <w:noWrap/>
            <w:hideMark/>
          </w:tcPr>
          <w:p w14:paraId="65350B7F" w14:textId="2B27CE23" w:rsidR="0011696D" w:rsidRPr="00956A2A" w:rsidRDefault="0011696D" w:rsidP="0011696D">
            <w:pPr>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Gonclaves</w:t>
            </w:r>
          </w:p>
        </w:tc>
        <w:tc>
          <w:tcPr>
            <w:tcW w:w="1920" w:type="dxa"/>
            <w:noWrap/>
            <w:vAlign w:val="bottom"/>
            <w:hideMark/>
          </w:tcPr>
          <w:p w14:paraId="3F06F2F5" w14:textId="63608838" w:rsidR="0011696D" w:rsidRPr="00956A2A" w:rsidRDefault="0011696D" w:rsidP="0011696D">
            <w:pPr>
              <w:jc w:val="both"/>
              <w:rPr>
                <w:rFonts w:ascii="Calibri" w:eastAsia="Times New Roman" w:hAnsi="Calibri" w:cs="Times New Roman"/>
                <w:color w:val="000000"/>
                <w:lang w:eastAsia="en-GB"/>
              </w:rPr>
            </w:pPr>
            <w:r>
              <w:rPr>
                <w:rFonts w:ascii="Calibri" w:hAnsi="Calibri"/>
                <w:color w:val="000000"/>
              </w:rPr>
              <w:t>2011</w:t>
            </w:r>
          </w:p>
        </w:tc>
        <w:tc>
          <w:tcPr>
            <w:tcW w:w="2252" w:type="dxa"/>
            <w:noWrap/>
            <w:vAlign w:val="bottom"/>
          </w:tcPr>
          <w:p w14:paraId="08A38975" w14:textId="415B1265" w:rsidR="0011696D" w:rsidRPr="00956A2A" w:rsidRDefault="0011696D" w:rsidP="0011696D">
            <w:pPr>
              <w:jc w:val="both"/>
              <w:rPr>
                <w:rFonts w:ascii="Calibri" w:eastAsia="Times New Roman" w:hAnsi="Calibri" w:cs="Times New Roman"/>
                <w:color w:val="000000"/>
                <w:lang w:eastAsia="en-GB"/>
              </w:rPr>
            </w:pPr>
          </w:p>
        </w:tc>
        <w:tc>
          <w:tcPr>
            <w:tcW w:w="2241" w:type="dxa"/>
            <w:noWrap/>
            <w:vAlign w:val="bottom"/>
          </w:tcPr>
          <w:p w14:paraId="04DD08ED" w14:textId="48856AB2" w:rsidR="0011696D" w:rsidRPr="00956A2A" w:rsidRDefault="0011696D" w:rsidP="0011696D">
            <w:pPr>
              <w:jc w:val="both"/>
              <w:rPr>
                <w:rFonts w:ascii="Calibri" w:eastAsia="Times New Roman" w:hAnsi="Calibri" w:cs="Times New Roman"/>
                <w:color w:val="000000"/>
                <w:lang w:eastAsia="en-GB"/>
              </w:rPr>
            </w:pPr>
          </w:p>
        </w:tc>
      </w:tr>
      <w:tr w:rsidR="0011696D" w:rsidRPr="00956A2A" w14:paraId="3332A121" w14:textId="77777777" w:rsidTr="000E0783">
        <w:trPr>
          <w:trHeight w:val="469"/>
        </w:trPr>
        <w:tc>
          <w:tcPr>
            <w:tcW w:w="2772" w:type="dxa"/>
            <w:noWrap/>
            <w:hideMark/>
          </w:tcPr>
          <w:p w14:paraId="1C80795C" w14:textId="2B111499" w:rsidR="0011696D" w:rsidRPr="00956A2A" w:rsidRDefault="0011696D" w:rsidP="0011696D">
            <w:pPr>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Hancock</w:t>
            </w:r>
          </w:p>
        </w:tc>
        <w:tc>
          <w:tcPr>
            <w:tcW w:w="1920" w:type="dxa"/>
            <w:noWrap/>
            <w:vAlign w:val="bottom"/>
            <w:hideMark/>
          </w:tcPr>
          <w:p w14:paraId="07BC8E00" w14:textId="5E9C2EF1" w:rsidR="0011696D" w:rsidRPr="00956A2A" w:rsidRDefault="0011696D" w:rsidP="0011696D">
            <w:pPr>
              <w:jc w:val="both"/>
              <w:rPr>
                <w:rFonts w:ascii="Calibri" w:eastAsia="Times New Roman" w:hAnsi="Calibri" w:cs="Times New Roman"/>
                <w:color w:val="000000"/>
                <w:lang w:eastAsia="en-GB"/>
              </w:rPr>
            </w:pPr>
            <w:r>
              <w:rPr>
                <w:rFonts w:ascii="Calibri" w:hAnsi="Calibri"/>
                <w:color w:val="000000"/>
              </w:rPr>
              <w:t>2009</w:t>
            </w:r>
          </w:p>
        </w:tc>
        <w:tc>
          <w:tcPr>
            <w:tcW w:w="2252" w:type="dxa"/>
            <w:noWrap/>
            <w:vAlign w:val="bottom"/>
          </w:tcPr>
          <w:p w14:paraId="67A045BA" w14:textId="152310BB" w:rsidR="0011696D" w:rsidRPr="00956A2A" w:rsidRDefault="0011696D" w:rsidP="0011696D">
            <w:pPr>
              <w:jc w:val="both"/>
              <w:rPr>
                <w:rFonts w:ascii="Calibri" w:eastAsia="Times New Roman" w:hAnsi="Calibri" w:cs="Times New Roman"/>
                <w:color w:val="000000"/>
                <w:lang w:eastAsia="en-GB"/>
              </w:rPr>
            </w:pPr>
          </w:p>
        </w:tc>
        <w:tc>
          <w:tcPr>
            <w:tcW w:w="2241" w:type="dxa"/>
            <w:noWrap/>
            <w:vAlign w:val="bottom"/>
          </w:tcPr>
          <w:p w14:paraId="0A9FE576" w14:textId="5DDD7D76" w:rsidR="0011696D" w:rsidRPr="00956A2A" w:rsidRDefault="0011696D" w:rsidP="0011696D">
            <w:pPr>
              <w:jc w:val="both"/>
              <w:rPr>
                <w:rFonts w:ascii="Calibri" w:eastAsia="Times New Roman" w:hAnsi="Calibri" w:cs="Times New Roman"/>
                <w:color w:val="000000"/>
                <w:lang w:eastAsia="en-GB"/>
              </w:rPr>
            </w:pPr>
          </w:p>
        </w:tc>
      </w:tr>
      <w:tr w:rsidR="0011696D" w:rsidRPr="00956A2A" w14:paraId="6EB31442" w14:textId="77777777" w:rsidTr="000E0783">
        <w:trPr>
          <w:trHeight w:val="469"/>
        </w:trPr>
        <w:tc>
          <w:tcPr>
            <w:tcW w:w="2772" w:type="dxa"/>
            <w:noWrap/>
            <w:hideMark/>
          </w:tcPr>
          <w:p w14:paraId="385C50D8" w14:textId="3DB8F77E" w:rsidR="0011696D" w:rsidRPr="00956A2A" w:rsidRDefault="0011696D" w:rsidP="0011696D">
            <w:pPr>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Harwood</w:t>
            </w:r>
          </w:p>
        </w:tc>
        <w:tc>
          <w:tcPr>
            <w:tcW w:w="1920" w:type="dxa"/>
            <w:noWrap/>
            <w:vAlign w:val="bottom"/>
            <w:hideMark/>
          </w:tcPr>
          <w:p w14:paraId="489650D9" w14:textId="28878E1D" w:rsidR="0011696D" w:rsidRPr="00956A2A" w:rsidRDefault="0011696D" w:rsidP="0011696D">
            <w:pPr>
              <w:jc w:val="both"/>
              <w:rPr>
                <w:rFonts w:ascii="Calibri" w:eastAsia="Times New Roman" w:hAnsi="Calibri" w:cs="Times New Roman"/>
                <w:color w:val="000000"/>
                <w:lang w:eastAsia="en-GB"/>
              </w:rPr>
            </w:pPr>
            <w:r>
              <w:rPr>
                <w:rFonts w:ascii="Calibri" w:hAnsi="Calibri"/>
                <w:color w:val="000000"/>
              </w:rPr>
              <w:t>1997</w:t>
            </w:r>
          </w:p>
        </w:tc>
        <w:tc>
          <w:tcPr>
            <w:tcW w:w="2252" w:type="dxa"/>
            <w:noWrap/>
            <w:vAlign w:val="bottom"/>
          </w:tcPr>
          <w:p w14:paraId="49A881A1" w14:textId="6FA133B8" w:rsidR="0011696D" w:rsidRPr="00956A2A" w:rsidRDefault="0011696D" w:rsidP="0011696D">
            <w:pPr>
              <w:jc w:val="both"/>
              <w:rPr>
                <w:rFonts w:ascii="Calibri" w:eastAsia="Times New Roman" w:hAnsi="Calibri" w:cs="Times New Roman"/>
                <w:color w:val="000000"/>
                <w:lang w:eastAsia="en-GB"/>
              </w:rPr>
            </w:pPr>
          </w:p>
        </w:tc>
        <w:tc>
          <w:tcPr>
            <w:tcW w:w="2241" w:type="dxa"/>
            <w:noWrap/>
            <w:vAlign w:val="bottom"/>
          </w:tcPr>
          <w:p w14:paraId="6081CD6F" w14:textId="7D4588E2" w:rsidR="0011696D" w:rsidRPr="00956A2A" w:rsidRDefault="0011696D" w:rsidP="0011696D">
            <w:pPr>
              <w:jc w:val="both"/>
              <w:rPr>
                <w:rFonts w:ascii="Calibri" w:eastAsia="Times New Roman" w:hAnsi="Calibri" w:cs="Times New Roman"/>
                <w:color w:val="000000"/>
                <w:lang w:eastAsia="en-GB"/>
              </w:rPr>
            </w:pPr>
          </w:p>
        </w:tc>
      </w:tr>
      <w:tr w:rsidR="0011696D" w:rsidRPr="00956A2A" w14:paraId="72B28B43" w14:textId="77777777" w:rsidTr="000E0783">
        <w:trPr>
          <w:trHeight w:val="469"/>
        </w:trPr>
        <w:tc>
          <w:tcPr>
            <w:tcW w:w="2772" w:type="dxa"/>
            <w:noWrap/>
            <w:hideMark/>
          </w:tcPr>
          <w:p w14:paraId="671D0842" w14:textId="054A23FB" w:rsidR="0011696D" w:rsidRPr="00956A2A" w:rsidRDefault="0011696D" w:rsidP="0011696D">
            <w:pPr>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Jorm</w:t>
            </w:r>
          </w:p>
        </w:tc>
        <w:tc>
          <w:tcPr>
            <w:tcW w:w="1920" w:type="dxa"/>
            <w:noWrap/>
            <w:vAlign w:val="bottom"/>
            <w:hideMark/>
          </w:tcPr>
          <w:p w14:paraId="5FD2B58D" w14:textId="55728366" w:rsidR="0011696D" w:rsidRPr="00956A2A" w:rsidRDefault="0011696D" w:rsidP="0011696D">
            <w:pPr>
              <w:jc w:val="both"/>
              <w:rPr>
                <w:rFonts w:ascii="Calibri" w:eastAsia="Times New Roman" w:hAnsi="Calibri" w:cs="Times New Roman"/>
                <w:color w:val="000000"/>
                <w:lang w:eastAsia="en-GB"/>
              </w:rPr>
            </w:pPr>
            <w:r>
              <w:rPr>
                <w:rFonts w:ascii="Calibri" w:hAnsi="Calibri"/>
                <w:color w:val="000000"/>
              </w:rPr>
              <w:t>1991</w:t>
            </w:r>
          </w:p>
        </w:tc>
        <w:tc>
          <w:tcPr>
            <w:tcW w:w="2252" w:type="dxa"/>
            <w:noWrap/>
            <w:vAlign w:val="bottom"/>
          </w:tcPr>
          <w:p w14:paraId="318BB971" w14:textId="325AA12E" w:rsidR="0011696D" w:rsidRPr="00956A2A" w:rsidRDefault="0011696D" w:rsidP="0011696D">
            <w:pPr>
              <w:jc w:val="both"/>
              <w:rPr>
                <w:rFonts w:ascii="Calibri" w:eastAsia="Times New Roman" w:hAnsi="Calibri" w:cs="Times New Roman"/>
                <w:color w:val="000000"/>
                <w:lang w:eastAsia="en-GB"/>
              </w:rPr>
            </w:pPr>
          </w:p>
        </w:tc>
        <w:tc>
          <w:tcPr>
            <w:tcW w:w="2241" w:type="dxa"/>
            <w:noWrap/>
            <w:vAlign w:val="bottom"/>
          </w:tcPr>
          <w:p w14:paraId="5855E802" w14:textId="164A1029" w:rsidR="0011696D" w:rsidRPr="00956A2A" w:rsidRDefault="0011696D" w:rsidP="0011696D">
            <w:pPr>
              <w:jc w:val="both"/>
              <w:rPr>
                <w:rFonts w:ascii="Calibri" w:eastAsia="Times New Roman" w:hAnsi="Calibri" w:cs="Times New Roman"/>
                <w:color w:val="000000"/>
                <w:lang w:eastAsia="en-GB"/>
              </w:rPr>
            </w:pPr>
          </w:p>
        </w:tc>
      </w:tr>
    </w:tbl>
    <w:p w14:paraId="469570D1" w14:textId="77777777" w:rsidR="00C07960" w:rsidRDefault="00C07960" w:rsidP="00B0641C">
      <w:pPr>
        <w:spacing w:after="0"/>
        <w:jc w:val="both"/>
      </w:pPr>
    </w:p>
    <w:p w14:paraId="6E15D5EB" w14:textId="77777777" w:rsidR="00C07960" w:rsidRDefault="00C07960" w:rsidP="00B0641C">
      <w:pPr>
        <w:spacing w:after="0"/>
        <w:ind w:firstLine="720"/>
        <w:jc w:val="both"/>
      </w:pPr>
      <w:r>
        <w:t>b) Across all studies:</w:t>
      </w:r>
    </w:p>
    <w:p w14:paraId="56BC89F6" w14:textId="77777777" w:rsidR="00C07960" w:rsidRDefault="00C07960" w:rsidP="00B0641C">
      <w:pPr>
        <w:spacing w:after="0"/>
        <w:ind w:left="720" w:firstLine="720"/>
        <w:jc w:val="both"/>
      </w:pPr>
      <w:r>
        <w:t>i) Which studies have the largest and smallest values for sensitivity?</w:t>
      </w:r>
    </w:p>
    <w:p w14:paraId="1A058A4C" w14:textId="77777777" w:rsidR="00C07960" w:rsidRDefault="00C07960" w:rsidP="00B0641C">
      <w:pPr>
        <w:spacing w:after="0"/>
        <w:ind w:left="720" w:firstLine="720"/>
        <w:jc w:val="both"/>
      </w:pPr>
    </w:p>
    <w:p w14:paraId="690BF6C1" w14:textId="77777777" w:rsidR="00C07960" w:rsidRDefault="00C07960" w:rsidP="00B0641C">
      <w:pPr>
        <w:spacing w:after="0"/>
        <w:ind w:left="720" w:firstLine="720"/>
        <w:jc w:val="both"/>
      </w:pPr>
    </w:p>
    <w:p w14:paraId="0B063258" w14:textId="77777777" w:rsidR="00C07960" w:rsidRDefault="00C07960" w:rsidP="00B0641C">
      <w:pPr>
        <w:spacing w:after="0"/>
        <w:ind w:left="720" w:firstLine="720"/>
        <w:jc w:val="both"/>
      </w:pPr>
      <w:r>
        <w:t>ii) Which studies have the largest and smallest values for specificity?</w:t>
      </w:r>
    </w:p>
    <w:p w14:paraId="07C60BF3" w14:textId="77777777" w:rsidR="00C07960" w:rsidRDefault="00C07960" w:rsidP="00B0641C">
      <w:pPr>
        <w:spacing w:after="0"/>
        <w:ind w:left="720" w:firstLine="720"/>
        <w:jc w:val="both"/>
      </w:pPr>
    </w:p>
    <w:p w14:paraId="628C4AC5" w14:textId="07A74DBD" w:rsidR="00C07960" w:rsidRDefault="00C07960" w:rsidP="00B0641C">
      <w:pPr>
        <w:spacing w:after="0"/>
        <w:ind w:left="720" w:firstLine="720"/>
        <w:jc w:val="both"/>
        <w:rPr>
          <w:i/>
        </w:rPr>
      </w:pPr>
    </w:p>
    <w:p w14:paraId="385DFD7D" w14:textId="77777777" w:rsidR="000E0783" w:rsidRDefault="000E0783" w:rsidP="00B0641C">
      <w:pPr>
        <w:spacing w:after="0"/>
        <w:ind w:left="720" w:firstLine="720"/>
        <w:jc w:val="both"/>
        <w:rPr>
          <w:i/>
        </w:rPr>
      </w:pPr>
    </w:p>
    <w:p w14:paraId="354615A7" w14:textId="41ADCAC4" w:rsidR="000E0783" w:rsidRDefault="000E0783" w:rsidP="000E0783">
      <w:pPr>
        <w:pStyle w:val="ListParagraph"/>
        <w:numPr>
          <w:ilvl w:val="0"/>
          <w:numId w:val="3"/>
        </w:numPr>
        <w:spacing w:after="0"/>
        <w:jc w:val="both"/>
      </w:pPr>
      <w:r>
        <w:t>a) Use the ‘ROC Curve’ tab on the ‘Meta-Analysis’ page to produce a plot which shows the HSROC curve (this stands for hierarchical summary receiver operati</w:t>
      </w:r>
      <w:r w:rsidR="00926FBE">
        <w:t>ng</w:t>
      </w:r>
      <w:r>
        <w:t xml:space="preserve"> characteristic curve and is a pooled curve taking all the data points into account and including random effects to allow for between study heterogeneity), summary estimate, 95% confidence region and individual study estimates. Change the title of the plot. (Optional: Download the plot and place into a Word document).</w:t>
      </w:r>
    </w:p>
    <w:p w14:paraId="50CDA041" w14:textId="77777777" w:rsidR="000E0783" w:rsidRDefault="000E0783" w:rsidP="000E0783">
      <w:pPr>
        <w:spacing w:after="0"/>
        <w:ind w:left="360"/>
        <w:jc w:val="both"/>
      </w:pPr>
    </w:p>
    <w:p w14:paraId="3516F8A8" w14:textId="22E0440D" w:rsidR="000E0783" w:rsidRDefault="000E0783" w:rsidP="000E0783">
      <w:pPr>
        <w:spacing w:after="0"/>
        <w:ind w:left="360" w:firstLine="360"/>
        <w:jc w:val="both"/>
      </w:pPr>
      <w:r>
        <w:t>b) Display the disease prevalence and percentage study weights for each study</w:t>
      </w:r>
    </w:p>
    <w:p w14:paraId="109F71E1" w14:textId="4FE07F55" w:rsidR="000E0783" w:rsidRDefault="000E0783" w:rsidP="000E0783">
      <w:pPr>
        <w:spacing w:after="0"/>
        <w:ind w:left="360" w:firstLine="360"/>
        <w:jc w:val="both"/>
      </w:pPr>
    </w:p>
    <w:p w14:paraId="75FDD6AB" w14:textId="670480BA" w:rsidR="000E0783" w:rsidRDefault="000E0783" w:rsidP="000E0783">
      <w:pPr>
        <w:pStyle w:val="ListParagraph"/>
        <w:spacing w:after="0"/>
        <w:jc w:val="both"/>
      </w:pPr>
      <w:r>
        <w:t>c) Display the 95% study-level confidence levels for sensitivity and specificity</w:t>
      </w:r>
    </w:p>
    <w:p w14:paraId="32CB57E8" w14:textId="3DF82E2E" w:rsidR="000E0783" w:rsidRDefault="000E0783" w:rsidP="000E0783">
      <w:pPr>
        <w:pStyle w:val="ListParagraph"/>
        <w:spacing w:after="0"/>
        <w:jc w:val="both"/>
      </w:pPr>
    </w:p>
    <w:p w14:paraId="14DDE52E" w14:textId="77777777" w:rsidR="000E0783" w:rsidRDefault="000E0783" w:rsidP="000E0783">
      <w:pPr>
        <w:pStyle w:val="ListParagraph"/>
        <w:spacing w:after="0"/>
        <w:jc w:val="both"/>
      </w:pPr>
      <w:r>
        <w:t>d) From the ‘Display quality assessment scores’ drop down menu in the grey box select the option ‘Both risk of bias and applicability concerns’. Identify any studies where all seven QUADAS-2 domains are high or unclear risk of bias.</w:t>
      </w:r>
    </w:p>
    <w:p w14:paraId="75107ED0" w14:textId="6A9E7600" w:rsidR="000E0783" w:rsidRDefault="000E0783" w:rsidP="000E0783">
      <w:pPr>
        <w:pStyle w:val="ListParagraph"/>
        <w:spacing w:after="0"/>
        <w:jc w:val="both"/>
      </w:pPr>
    </w:p>
    <w:p w14:paraId="1A0B85ED" w14:textId="77777777" w:rsidR="000E0783" w:rsidRDefault="000E0783" w:rsidP="000E0783">
      <w:pPr>
        <w:pStyle w:val="ListParagraph"/>
        <w:spacing w:after="0"/>
        <w:jc w:val="both"/>
      </w:pPr>
      <w:r>
        <w:t>e) From the ‘Display covariates’ drop down menu in the grey box select the covariate IQCODE. Identify the one study which used the 32-item IQCODE variant.</w:t>
      </w:r>
    </w:p>
    <w:p w14:paraId="5C21DC41" w14:textId="578B0D58" w:rsidR="000E0783" w:rsidRDefault="000E0783" w:rsidP="000E0783">
      <w:pPr>
        <w:pStyle w:val="ListParagraph"/>
        <w:spacing w:after="0"/>
        <w:jc w:val="both"/>
      </w:pPr>
    </w:p>
    <w:p w14:paraId="68DA0F93" w14:textId="77777777" w:rsidR="000E0783" w:rsidRDefault="000E0783" w:rsidP="000E0783">
      <w:pPr>
        <w:pStyle w:val="ListParagraph"/>
        <w:spacing w:after="0"/>
        <w:jc w:val="both"/>
      </w:pPr>
      <w:r>
        <w:t>f) Optional: Play around with the graphical options and see which options can be used in combination</w:t>
      </w:r>
    </w:p>
    <w:p w14:paraId="0C8BC38F" w14:textId="77777777" w:rsidR="000E0783" w:rsidRDefault="000E0783" w:rsidP="000E0783">
      <w:pPr>
        <w:pStyle w:val="ListParagraph"/>
        <w:spacing w:after="0"/>
        <w:jc w:val="both"/>
      </w:pPr>
    </w:p>
    <w:p w14:paraId="603E7C93" w14:textId="54FF9EA1" w:rsidR="001F1067" w:rsidRDefault="001F1067" w:rsidP="00B0641C">
      <w:pPr>
        <w:pStyle w:val="ListParagraph"/>
        <w:numPr>
          <w:ilvl w:val="0"/>
          <w:numId w:val="3"/>
        </w:numPr>
        <w:spacing w:after="0"/>
        <w:jc w:val="both"/>
      </w:pPr>
      <w:r>
        <w:lastRenderedPageBreak/>
        <w:t>a) Use the ‘Statistics’ tab on the ‘Meta-Analysis’ page to complete the following table:</w:t>
      </w:r>
    </w:p>
    <w:p w14:paraId="583DFCD3" w14:textId="77777777" w:rsidR="001F1067" w:rsidRDefault="001F1067" w:rsidP="00B0641C">
      <w:pPr>
        <w:spacing w:after="0"/>
        <w:jc w:val="both"/>
      </w:pPr>
    </w:p>
    <w:tbl>
      <w:tblPr>
        <w:tblStyle w:val="TableGrid"/>
        <w:tblW w:w="9244" w:type="dxa"/>
        <w:tblLook w:val="04A0" w:firstRow="1" w:lastRow="0" w:firstColumn="1" w:lastColumn="0" w:noHBand="0" w:noVBand="1"/>
      </w:tblPr>
      <w:tblGrid>
        <w:gridCol w:w="3965"/>
        <w:gridCol w:w="1805"/>
        <w:gridCol w:w="1737"/>
        <w:gridCol w:w="1737"/>
      </w:tblGrid>
      <w:tr w:rsidR="001F1067" w:rsidRPr="00F653F0" w14:paraId="5A247BF1" w14:textId="77777777" w:rsidTr="000E0783">
        <w:trPr>
          <w:trHeight w:val="562"/>
        </w:trPr>
        <w:tc>
          <w:tcPr>
            <w:tcW w:w="3965" w:type="dxa"/>
            <w:noWrap/>
            <w:hideMark/>
          </w:tcPr>
          <w:p w14:paraId="5D191A4B" w14:textId="77777777" w:rsidR="001F1067" w:rsidRPr="00F653F0" w:rsidRDefault="001F1067" w:rsidP="00B0641C">
            <w:pPr>
              <w:jc w:val="both"/>
              <w:rPr>
                <w:rFonts w:ascii="Calibri" w:eastAsia="Times New Roman" w:hAnsi="Calibri" w:cs="Times New Roman"/>
                <w:b/>
                <w:color w:val="000000"/>
                <w:lang w:eastAsia="en-GB"/>
              </w:rPr>
            </w:pPr>
            <w:r w:rsidRPr="00F653F0">
              <w:rPr>
                <w:rFonts w:ascii="Calibri" w:eastAsia="Times New Roman" w:hAnsi="Calibri" w:cs="Times New Roman"/>
                <w:b/>
                <w:color w:val="000000"/>
                <w:lang w:eastAsia="en-GB"/>
              </w:rPr>
              <w:t>Parameter</w:t>
            </w:r>
          </w:p>
        </w:tc>
        <w:tc>
          <w:tcPr>
            <w:tcW w:w="1805" w:type="dxa"/>
            <w:noWrap/>
            <w:hideMark/>
          </w:tcPr>
          <w:p w14:paraId="2712A1D0" w14:textId="77777777" w:rsidR="001F1067" w:rsidRPr="00F653F0" w:rsidRDefault="001F1067" w:rsidP="00B0641C">
            <w:pPr>
              <w:jc w:val="both"/>
              <w:rPr>
                <w:rFonts w:ascii="Calibri" w:eastAsia="Times New Roman" w:hAnsi="Calibri" w:cs="Times New Roman"/>
                <w:b/>
                <w:color w:val="000000"/>
                <w:lang w:eastAsia="en-GB"/>
              </w:rPr>
            </w:pPr>
            <w:r w:rsidRPr="00F653F0">
              <w:rPr>
                <w:rFonts w:ascii="Calibri" w:eastAsia="Times New Roman" w:hAnsi="Calibri" w:cs="Times New Roman"/>
                <w:b/>
                <w:color w:val="000000"/>
                <w:lang w:eastAsia="en-GB"/>
              </w:rPr>
              <w:t>Estimate</w:t>
            </w:r>
          </w:p>
        </w:tc>
        <w:tc>
          <w:tcPr>
            <w:tcW w:w="1737" w:type="dxa"/>
            <w:noWrap/>
            <w:hideMark/>
          </w:tcPr>
          <w:p w14:paraId="10D677FD" w14:textId="77777777" w:rsidR="001F1067" w:rsidRPr="00F653F0" w:rsidRDefault="001F1067" w:rsidP="00B0641C">
            <w:pPr>
              <w:jc w:val="both"/>
              <w:rPr>
                <w:rFonts w:ascii="Calibri" w:eastAsia="Times New Roman" w:hAnsi="Calibri" w:cs="Times New Roman"/>
                <w:b/>
                <w:color w:val="000000"/>
                <w:lang w:eastAsia="en-GB"/>
              </w:rPr>
            </w:pPr>
            <w:r w:rsidRPr="00F653F0">
              <w:rPr>
                <w:rFonts w:ascii="Calibri" w:eastAsia="Times New Roman" w:hAnsi="Calibri" w:cs="Times New Roman"/>
                <w:b/>
                <w:color w:val="000000"/>
                <w:lang w:eastAsia="en-GB"/>
              </w:rPr>
              <w:t>2.5%</w:t>
            </w:r>
          </w:p>
        </w:tc>
        <w:tc>
          <w:tcPr>
            <w:tcW w:w="1737" w:type="dxa"/>
            <w:noWrap/>
            <w:hideMark/>
          </w:tcPr>
          <w:p w14:paraId="0EC5ED12" w14:textId="77777777" w:rsidR="001F1067" w:rsidRPr="00F653F0" w:rsidRDefault="001F1067" w:rsidP="00B0641C">
            <w:pPr>
              <w:jc w:val="both"/>
              <w:rPr>
                <w:rFonts w:ascii="Calibri" w:eastAsia="Times New Roman" w:hAnsi="Calibri" w:cs="Times New Roman"/>
                <w:b/>
                <w:color w:val="000000"/>
                <w:lang w:eastAsia="en-GB"/>
              </w:rPr>
            </w:pPr>
            <w:r w:rsidRPr="00F653F0">
              <w:rPr>
                <w:rFonts w:ascii="Calibri" w:eastAsia="Times New Roman" w:hAnsi="Calibri" w:cs="Times New Roman"/>
                <w:b/>
                <w:color w:val="000000"/>
                <w:lang w:eastAsia="en-GB"/>
              </w:rPr>
              <w:t>97.5%</w:t>
            </w:r>
          </w:p>
        </w:tc>
      </w:tr>
      <w:tr w:rsidR="0011696D" w:rsidRPr="00F653F0" w14:paraId="5EC3C4B1" w14:textId="77777777" w:rsidTr="000E0783">
        <w:trPr>
          <w:trHeight w:val="562"/>
        </w:trPr>
        <w:tc>
          <w:tcPr>
            <w:tcW w:w="3965" w:type="dxa"/>
            <w:noWrap/>
            <w:hideMark/>
          </w:tcPr>
          <w:p w14:paraId="44B3B36D" w14:textId="77777777" w:rsidR="0011696D" w:rsidRPr="00F653F0" w:rsidRDefault="0011696D" w:rsidP="0011696D">
            <w:pPr>
              <w:jc w:val="both"/>
              <w:rPr>
                <w:rFonts w:ascii="Calibri" w:eastAsia="Times New Roman" w:hAnsi="Calibri" w:cs="Times New Roman"/>
                <w:color w:val="000000"/>
                <w:lang w:eastAsia="en-GB"/>
              </w:rPr>
            </w:pPr>
            <w:r w:rsidRPr="00F653F0">
              <w:rPr>
                <w:rFonts w:ascii="Calibri" w:eastAsia="Times New Roman" w:hAnsi="Calibri" w:cs="Times New Roman"/>
                <w:color w:val="000000"/>
                <w:lang w:eastAsia="en-GB"/>
              </w:rPr>
              <w:t>Sensitivity</w:t>
            </w:r>
          </w:p>
        </w:tc>
        <w:tc>
          <w:tcPr>
            <w:tcW w:w="1805" w:type="dxa"/>
            <w:noWrap/>
            <w:vAlign w:val="bottom"/>
          </w:tcPr>
          <w:p w14:paraId="3CF7457F" w14:textId="766DFF9B" w:rsidR="0011696D" w:rsidRPr="00F653F0" w:rsidRDefault="0011696D" w:rsidP="0011696D">
            <w:pPr>
              <w:jc w:val="both"/>
              <w:rPr>
                <w:rFonts w:ascii="Calibri" w:eastAsia="Times New Roman" w:hAnsi="Calibri" w:cs="Times New Roman"/>
                <w:color w:val="000000"/>
                <w:lang w:eastAsia="en-GB"/>
              </w:rPr>
            </w:pPr>
          </w:p>
        </w:tc>
        <w:tc>
          <w:tcPr>
            <w:tcW w:w="1737" w:type="dxa"/>
            <w:noWrap/>
            <w:vAlign w:val="bottom"/>
          </w:tcPr>
          <w:p w14:paraId="7531FE5D" w14:textId="3459DC87" w:rsidR="0011696D" w:rsidRPr="00F653F0" w:rsidRDefault="0011696D" w:rsidP="0011696D">
            <w:pPr>
              <w:jc w:val="both"/>
              <w:rPr>
                <w:rFonts w:ascii="Calibri" w:eastAsia="Times New Roman" w:hAnsi="Calibri" w:cs="Times New Roman"/>
                <w:color w:val="000000"/>
                <w:lang w:eastAsia="en-GB"/>
              </w:rPr>
            </w:pPr>
          </w:p>
        </w:tc>
        <w:tc>
          <w:tcPr>
            <w:tcW w:w="1737" w:type="dxa"/>
            <w:noWrap/>
            <w:vAlign w:val="bottom"/>
          </w:tcPr>
          <w:p w14:paraId="19F81ED6" w14:textId="41C81852" w:rsidR="0011696D" w:rsidRPr="00F653F0" w:rsidRDefault="0011696D" w:rsidP="0011696D">
            <w:pPr>
              <w:jc w:val="both"/>
              <w:rPr>
                <w:rFonts w:ascii="Calibri" w:eastAsia="Times New Roman" w:hAnsi="Calibri" w:cs="Times New Roman"/>
                <w:color w:val="000000"/>
                <w:lang w:eastAsia="en-GB"/>
              </w:rPr>
            </w:pPr>
          </w:p>
        </w:tc>
      </w:tr>
      <w:tr w:rsidR="0011696D" w:rsidRPr="00F653F0" w14:paraId="0A1F740B" w14:textId="77777777" w:rsidTr="000E0783">
        <w:trPr>
          <w:trHeight w:val="562"/>
        </w:trPr>
        <w:tc>
          <w:tcPr>
            <w:tcW w:w="3965" w:type="dxa"/>
            <w:noWrap/>
            <w:hideMark/>
          </w:tcPr>
          <w:p w14:paraId="175DA90C" w14:textId="77777777" w:rsidR="0011696D" w:rsidRPr="00F653F0" w:rsidRDefault="0011696D" w:rsidP="0011696D">
            <w:pPr>
              <w:jc w:val="both"/>
              <w:rPr>
                <w:rFonts w:ascii="Calibri" w:eastAsia="Times New Roman" w:hAnsi="Calibri" w:cs="Times New Roman"/>
                <w:color w:val="000000"/>
                <w:lang w:eastAsia="en-GB"/>
              </w:rPr>
            </w:pPr>
            <w:r w:rsidRPr="00F653F0">
              <w:rPr>
                <w:rFonts w:ascii="Calibri" w:eastAsia="Times New Roman" w:hAnsi="Calibri" w:cs="Times New Roman"/>
                <w:color w:val="000000"/>
                <w:lang w:eastAsia="en-GB"/>
              </w:rPr>
              <w:t>Specificity</w:t>
            </w:r>
          </w:p>
        </w:tc>
        <w:tc>
          <w:tcPr>
            <w:tcW w:w="1805" w:type="dxa"/>
            <w:noWrap/>
            <w:vAlign w:val="bottom"/>
          </w:tcPr>
          <w:p w14:paraId="7F2AF6AA" w14:textId="313B5C84" w:rsidR="0011696D" w:rsidRPr="00F653F0" w:rsidRDefault="0011696D" w:rsidP="0011696D">
            <w:pPr>
              <w:jc w:val="both"/>
              <w:rPr>
                <w:rFonts w:ascii="Calibri" w:eastAsia="Times New Roman" w:hAnsi="Calibri" w:cs="Times New Roman"/>
                <w:color w:val="000000"/>
                <w:lang w:eastAsia="en-GB"/>
              </w:rPr>
            </w:pPr>
          </w:p>
        </w:tc>
        <w:tc>
          <w:tcPr>
            <w:tcW w:w="1737" w:type="dxa"/>
            <w:noWrap/>
            <w:vAlign w:val="bottom"/>
          </w:tcPr>
          <w:p w14:paraId="2E45D8A3" w14:textId="48CB1041" w:rsidR="0011696D" w:rsidRPr="00F653F0" w:rsidRDefault="0011696D" w:rsidP="0011696D">
            <w:pPr>
              <w:jc w:val="both"/>
              <w:rPr>
                <w:rFonts w:ascii="Calibri" w:eastAsia="Times New Roman" w:hAnsi="Calibri" w:cs="Times New Roman"/>
                <w:color w:val="000000"/>
                <w:lang w:eastAsia="en-GB"/>
              </w:rPr>
            </w:pPr>
          </w:p>
        </w:tc>
        <w:tc>
          <w:tcPr>
            <w:tcW w:w="1737" w:type="dxa"/>
            <w:noWrap/>
            <w:vAlign w:val="bottom"/>
          </w:tcPr>
          <w:p w14:paraId="4894A8E0" w14:textId="74F3D1F8" w:rsidR="0011696D" w:rsidRPr="00F653F0" w:rsidRDefault="0011696D" w:rsidP="0011696D">
            <w:pPr>
              <w:jc w:val="both"/>
              <w:rPr>
                <w:rFonts w:ascii="Calibri" w:eastAsia="Times New Roman" w:hAnsi="Calibri" w:cs="Times New Roman"/>
                <w:color w:val="000000"/>
                <w:lang w:eastAsia="en-GB"/>
              </w:rPr>
            </w:pPr>
          </w:p>
        </w:tc>
      </w:tr>
      <w:tr w:rsidR="0011696D" w:rsidRPr="00F653F0" w14:paraId="37DCE2E5" w14:textId="77777777" w:rsidTr="000E0783">
        <w:trPr>
          <w:trHeight w:val="562"/>
        </w:trPr>
        <w:tc>
          <w:tcPr>
            <w:tcW w:w="3965" w:type="dxa"/>
            <w:noWrap/>
            <w:hideMark/>
          </w:tcPr>
          <w:p w14:paraId="73B3753A" w14:textId="77777777" w:rsidR="0011696D" w:rsidRPr="00F653F0" w:rsidRDefault="0011696D" w:rsidP="0011696D">
            <w:pPr>
              <w:jc w:val="both"/>
              <w:rPr>
                <w:rFonts w:ascii="Calibri" w:eastAsia="Times New Roman" w:hAnsi="Calibri" w:cs="Times New Roman"/>
                <w:color w:val="000000"/>
                <w:lang w:eastAsia="en-GB"/>
              </w:rPr>
            </w:pPr>
            <w:r w:rsidRPr="00F653F0">
              <w:rPr>
                <w:rFonts w:ascii="Calibri" w:eastAsia="Times New Roman" w:hAnsi="Calibri" w:cs="Times New Roman"/>
                <w:color w:val="000000"/>
                <w:lang w:eastAsia="en-GB"/>
              </w:rPr>
              <w:t>False Positive Rate</w:t>
            </w:r>
          </w:p>
        </w:tc>
        <w:tc>
          <w:tcPr>
            <w:tcW w:w="1805" w:type="dxa"/>
            <w:noWrap/>
            <w:vAlign w:val="bottom"/>
          </w:tcPr>
          <w:p w14:paraId="46A52ADB" w14:textId="083F2344" w:rsidR="0011696D" w:rsidRPr="00F653F0" w:rsidRDefault="0011696D" w:rsidP="0011696D">
            <w:pPr>
              <w:jc w:val="both"/>
              <w:rPr>
                <w:rFonts w:ascii="Calibri" w:eastAsia="Times New Roman" w:hAnsi="Calibri" w:cs="Times New Roman"/>
                <w:color w:val="000000"/>
                <w:lang w:eastAsia="en-GB"/>
              </w:rPr>
            </w:pPr>
          </w:p>
        </w:tc>
        <w:tc>
          <w:tcPr>
            <w:tcW w:w="1737" w:type="dxa"/>
            <w:noWrap/>
            <w:vAlign w:val="bottom"/>
          </w:tcPr>
          <w:p w14:paraId="4969E5E8" w14:textId="683D06EA" w:rsidR="0011696D" w:rsidRPr="00F653F0" w:rsidRDefault="0011696D" w:rsidP="0011696D">
            <w:pPr>
              <w:jc w:val="both"/>
              <w:rPr>
                <w:rFonts w:ascii="Calibri" w:eastAsia="Times New Roman" w:hAnsi="Calibri" w:cs="Times New Roman"/>
                <w:color w:val="000000"/>
                <w:lang w:eastAsia="en-GB"/>
              </w:rPr>
            </w:pPr>
          </w:p>
        </w:tc>
        <w:tc>
          <w:tcPr>
            <w:tcW w:w="1737" w:type="dxa"/>
            <w:noWrap/>
            <w:vAlign w:val="bottom"/>
          </w:tcPr>
          <w:p w14:paraId="7EA5C0A8" w14:textId="4D58F1B2" w:rsidR="0011696D" w:rsidRPr="00F653F0" w:rsidRDefault="0011696D" w:rsidP="0011696D">
            <w:pPr>
              <w:jc w:val="both"/>
              <w:rPr>
                <w:rFonts w:ascii="Calibri" w:eastAsia="Times New Roman" w:hAnsi="Calibri" w:cs="Times New Roman"/>
                <w:color w:val="000000"/>
                <w:lang w:eastAsia="en-GB"/>
              </w:rPr>
            </w:pPr>
          </w:p>
        </w:tc>
      </w:tr>
      <w:tr w:rsidR="0011696D" w:rsidRPr="00F653F0" w14:paraId="4D646BD5" w14:textId="77777777" w:rsidTr="000E0783">
        <w:trPr>
          <w:trHeight w:val="562"/>
        </w:trPr>
        <w:tc>
          <w:tcPr>
            <w:tcW w:w="3965" w:type="dxa"/>
            <w:noWrap/>
            <w:hideMark/>
          </w:tcPr>
          <w:p w14:paraId="2FF93A64" w14:textId="77777777" w:rsidR="0011696D" w:rsidRPr="00F653F0" w:rsidRDefault="0011696D" w:rsidP="0011696D">
            <w:pPr>
              <w:jc w:val="both"/>
              <w:rPr>
                <w:rFonts w:ascii="Calibri" w:eastAsia="Times New Roman" w:hAnsi="Calibri" w:cs="Times New Roman"/>
                <w:color w:val="000000"/>
                <w:lang w:eastAsia="en-GB"/>
              </w:rPr>
            </w:pPr>
            <w:r w:rsidRPr="00F653F0">
              <w:rPr>
                <w:rFonts w:ascii="Calibri" w:eastAsia="Times New Roman" w:hAnsi="Calibri" w:cs="Times New Roman"/>
                <w:color w:val="000000"/>
                <w:lang w:eastAsia="en-GB"/>
              </w:rPr>
              <w:t>D</w:t>
            </w:r>
            <w:r>
              <w:rPr>
                <w:rFonts w:ascii="Calibri" w:eastAsia="Times New Roman" w:hAnsi="Calibri" w:cs="Times New Roman"/>
                <w:color w:val="000000"/>
                <w:lang w:eastAsia="en-GB"/>
              </w:rPr>
              <w:t xml:space="preserve">iagnostic </w:t>
            </w:r>
            <w:r w:rsidRPr="00F653F0">
              <w:rPr>
                <w:rFonts w:ascii="Calibri" w:eastAsia="Times New Roman" w:hAnsi="Calibri" w:cs="Times New Roman"/>
                <w:color w:val="000000"/>
                <w:lang w:eastAsia="en-GB"/>
              </w:rPr>
              <w:t>O</w:t>
            </w:r>
            <w:r>
              <w:rPr>
                <w:rFonts w:ascii="Calibri" w:eastAsia="Times New Roman" w:hAnsi="Calibri" w:cs="Times New Roman"/>
                <w:color w:val="000000"/>
                <w:lang w:eastAsia="en-GB"/>
              </w:rPr>
              <w:t xml:space="preserve">dds </w:t>
            </w:r>
            <w:r w:rsidRPr="00F653F0">
              <w:rPr>
                <w:rFonts w:ascii="Calibri" w:eastAsia="Times New Roman" w:hAnsi="Calibri" w:cs="Times New Roman"/>
                <w:color w:val="000000"/>
                <w:lang w:eastAsia="en-GB"/>
              </w:rPr>
              <w:t>R</w:t>
            </w:r>
            <w:r>
              <w:rPr>
                <w:rFonts w:ascii="Calibri" w:eastAsia="Times New Roman" w:hAnsi="Calibri" w:cs="Times New Roman"/>
                <w:color w:val="000000"/>
                <w:lang w:eastAsia="en-GB"/>
              </w:rPr>
              <w:t>atio</w:t>
            </w:r>
          </w:p>
        </w:tc>
        <w:tc>
          <w:tcPr>
            <w:tcW w:w="1805" w:type="dxa"/>
            <w:noWrap/>
            <w:vAlign w:val="bottom"/>
          </w:tcPr>
          <w:p w14:paraId="0741E7F2" w14:textId="3C1CCC06" w:rsidR="0011696D" w:rsidRPr="00F653F0" w:rsidRDefault="0011696D" w:rsidP="0011696D">
            <w:pPr>
              <w:jc w:val="both"/>
              <w:rPr>
                <w:rFonts w:ascii="Calibri" w:eastAsia="Times New Roman" w:hAnsi="Calibri" w:cs="Times New Roman"/>
                <w:color w:val="000000"/>
                <w:lang w:eastAsia="en-GB"/>
              </w:rPr>
            </w:pPr>
          </w:p>
        </w:tc>
        <w:tc>
          <w:tcPr>
            <w:tcW w:w="1737" w:type="dxa"/>
            <w:noWrap/>
            <w:vAlign w:val="bottom"/>
          </w:tcPr>
          <w:p w14:paraId="066BEBAF" w14:textId="0BD9C30F" w:rsidR="0011696D" w:rsidRPr="00F653F0" w:rsidRDefault="0011696D" w:rsidP="0011696D">
            <w:pPr>
              <w:jc w:val="both"/>
              <w:rPr>
                <w:rFonts w:ascii="Calibri" w:eastAsia="Times New Roman" w:hAnsi="Calibri" w:cs="Times New Roman"/>
                <w:color w:val="000000"/>
                <w:lang w:eastAsia="en-GB"/>
              </w:rPr>
            </w:pPr>
          </w:p>
        </w:tc>
        <w:tc>
          <w:tcPr>
            <w:tcW w:w="1737" w:type="dxa"/>
            <w:noWrap/>
            <w:vAlign w:val="bottom"/>
          </w:tcPr>
          <w:p w14:paraId="753D57F6" w14:textId="79389C86" w:rsidR="0011696D" w:rsidRPr="00F653F0" w:rsidRDefault="0011696D" w:rsidP="0011696D">
            <w:pPr>
              <w:jc w:val="both"/>
              <w:rPr>
                <w:rFonts w:ascii="Calibri" w:eastAsia="Times New Roman" w:hAnsi="Calibri" w:cs="Times New Roman"/>
                <w:color w:val="000000"/>
                <w:lang w:eastAsia="en-GB"/>
              </w:rPr>
            </w:pPr>
          </w:p>
        </w:tc>
      </w:tr>
    </w:tbl>
    <w:p w14:paraId="2089A0C6" w14:textId="77777777" w:rsidR="001F1067" w:rsidRDefault="001F1067" w:rsidP="00B0641C">
      <w:pPr>
        <w:spacing w:after="0"/>
        <w:jc w:val="both"/>
      </w:pPr>
    </w:p>
    <w:p w14:paraId="5AE98FF7" w14:textId="77777777" w:rsidR="001F1067" w:rsidRDefault="001F1067" w:rsidP="00B0641C">
      <w:pPr>
        <w:spacing w:after="0"/>
        <w:ind w:left="360" w:firstLine="360"/>
        <w:jc w:val="both"/>
      </w:pPr>
      <w:r>
        <w:t>b) Interpret the sensitivity, specificity and false-positive rate</w:t>
      </w:r>
    </w:p>
    <w:p w14:paraId="4D44CDDF" w14:textId="77777777" w:rsidR="001F1067" w:rsidRDefault="001F1067" w:rsidP="00B0641C">
      <w:pPr>
        <w:pStyle w:val="ListParagraph"/>
        <w:spacing w:after="0"/>
        <w:ind w:left="1440"/>
        <w:jc w:val="both"/>
      </w:pPr>
    </w:p>
    <w:p w14:paraId="43DF3571" w14:textId="54F8C7C1" w:rsidR="005A66AE" w:rsidRDefault="005A66AE" w:rsidP="00B0641C">
      <w:pPr>
        <w:pStyle w:val="ListParagraph"/>
        <w:spacing w:after="0"/>
        <w:ind w:left="0"/>
        <w:jc w:val="both"/>
      </w:pPr>
    </w:p>
    <w:p w14:paraId="67142269" w14:textId="77777777" w:rsidR="000E0783" w:rsidRDefault="000E0783" w:rsidP="00B0641C">
      <w:pPr>
        <w:pStyle w:val="ListParagraph"/>
        <w:spacing w:after="0"/>
        <w:ind w:left="0"/>
        <w:jc w:val="both"/>
      </w:pPr>
    </w:p>
    <w:p w14:paraId="65121726" w14:textId="77777777" w:rsidR="001F1067" w:rsidRDefault="001F1067" w:rsidP="00B0641C">
      <w:pPr>
        <w:spacing w:after="0"/>
        <w:ind w:left="360" w:firstLine="360"/>
        <w:jc w:val="both"/>
      </w:pPr>
      <w:r>
        <w:t xml:space="preserve">c) Interpret the </w:t>
      </w:r>
      <w:r w:rsidR="008066E3">
        <w:t>diagnostic odds ratio</w:t>
      </w:r>
    </w:p>
    <w:p w14:paraId="020F0A9D" w14:textId="77777777" w:rsidR="001F1067" w:rsidRDefault="001F1067" w:rsidP="00B0641C">
      <w:pPr>
        <w:spacing w:after="0"/>
        <w:jc w:val="both"/>
      </w:pPr>
    </w:p>
    <w:p w14:paraId="05F100F3" w14:textId="6CB303BD" w:rsidR="008066E3" w:rsidRDefault="008066E3" w:rsidP="00B0641C">
      <w:pPr>
        <w:spacing w:after="0"/>
        <w:jc w:val="both"/>
      </w:pPr>
    </w:p>
    <w:p w14:paraId="541E2028" w14:textId="77777777" w:rsidR="001F1067" w:rsidRDefault="001F1067" w:rsidP="00B0641C">
      <w:pPr>
        <w:spacing w:after="0"/>
        <w:jc w:val="both"/>
      </w:pPr>
    </w:p>
    <w:p w14:paraId="22C47992" w14:textId="29E6DABE" w:rsidR="001F1067" w:rsidRDefault="00AA5922" w:rsidP="00B0641C">
      <w:pPr>
        <w:pStyle w:val="ListParagraph"/>
        <w:numPr>
          <w:ilvl w:val="0"/>
          <w:numId w:val="3"/>
        </w:numPr>
        <w:spacing w:after="0"/>
        <w:jc w:val="both"/>
      </w:pPr>
      <w:r>
        <w:t>Use the ‘Sensitivity A</w:t>
      </w:r>
      <w:r w:rsidR="001F1067">
        <w:t xml:space="preserve">nalysis’ page to exclude the </w:t>
      </w:r>
      <w:r w:rsidR="005E00B6">
        <w:t xml:space="preserve">two </w:t>
      </w:r>
      <w:r w:rsidR="001F1067">
        <w:t xml:space="preserve">trials with </w:t>
      </w:r>
      <w:r w:rsidR="005E00B6">
        <w:t>high or unclear risk of bias for all seven QUADAS-2 domains</w:t>
      </w:r>
      <w:r w:rsidR="001F1067">
        <w:t>:</w:t>
      </w:r>
    </w:p>
    <w:p w14:paraId="611FD0B3" w14:textId="4F35D410" w:rsidR="00D8001F" w:rsidRDefault="00D8001F" w:rsidP="000E0783">
      <w:pPr>
        <w:spacing w:after="0"/>
        <w:jc w:val="both"/>
      </w:pPr>
    </w:p>
    <w:p w14:paraId="2176FBFF" w14:textId="6A5084F1" w:rsidR="00D8001F" w:rsidRDefault="00AA5922" w:rsidP="00B0641C">
      <w:pPr>
        <w:pStyle w:val="ListParagraph"/>
        <w:numPr>
          <w:ilvl w:val="0"/>
          <w:numId w:val="4"/>
        </w:numPr>
        <w:spacing w:after="0"/>
        <w:jc w:val="both"/>
      </w:pPr>
      <w:r>
        <w:t>Use the ‘ROC C</w:t>
      </w:r>
      <w:r w:rsidR="001F1067">
        <w:t>urve’ tab to produce a plot which shows the data points, summary estimate, 95% confidence region and 95% predictive region. Ch</w:t>
      </w:r>
      <w:r>
        <w:t>ange the title to “Sensitivity A</w:t>
      </w:r>
      <w:r w:rsidR="001F1067">
        <w:t>nalysis”. (Optional: Download the plot and place in a Word document)</w:t>
      </w:r>
    </w:p>
    <w:p w14:paraId="6CAE2CF7" w14:textId="77777777" w:rsidR="00D8001F" w:rsidRDefault="00D8001F" w:rsidP="00B0641C">
      <w:pPr>
        <w:spacing w:after="0"/>
        <w:jc w:val="both"/>
      </w:pPr>
    </w:p>
    <w:p w14:paraId="70FFFCEF" w14:textId="77777777" w:rsidR="001F1067" w:rsidRDefault="001F1067" w:rsidP="00B0641C">
      <w:pPr>
        <w:pStyle w:val="ListParagraph"/>
        <w:numPr>
          <w:ilvl w:val="0"/>
          <w:numId w:val="4"/>
        </w:numPr>
        <w:spacing w:after="0"/>
        <w:jc w:val="both"/>
      </w:pPr>
      <w:r>
        <w:t>How do the estimates of sensitivity and specificity change compared to the analysis with all studies?</w:t>
      </w:r>
    </w:p>
    <w:p w14:paraId="27974ABF" w14:textId="77777777" w:rsidR="00853690" w:rsidRDefault="00853690" w:rsidP="00B0641C">
      <w:pPr>
        <w:spacing w:after="0"/>
        <w:jc w:val="both"/>
      </w:pPr>
    </w:p>
    <w:p w14:paraId="700338D0" w14:textId="2E08F954" w:rsidR="00922347" w:rsidRDefault="00922347" w:rsidP="00922347">
      <w:pPr>
        <w:spacing w:after="0"/>
        <w:jc w:val="both"/>
        <w:rPr>
          <w:i/>
        </w:rPr>
      </w:pPr>
    </w:p>
    <w:p w14:paraId="2951D4F2" w14:textId="77777777" w:rsidR="000E0783" w:rsidRDefault="000E0783" w:rsidP="00922347">
      <w:pPr>
        <w:spacing w:after="0"/>
        <w:jc w:val="both"/>
        <w:rPr>
          <w:i/>
        </w:rPr>
      </w:pPr>
    </w:p>
    <w:p w14:paraId="4D1E3A44" w14:textId="77777777" w:rsidR="000E0783" w:rsidRPr="00A46341" w:rsidRDefault="000E0783" w:rsidP="000E0783">
      <w:pPr>
        <w:pStyle w:val="ListParagraph"/>
        <w:numPr>
          <w:ilvl w:val="0"/>
          <w:numId w:val="3"/>
        </w:numPr>
        <w:spacing w:after="0"/>
        <w:jc w:val="both"/>
      </w:pPr>
      <w:r w:rsidRPr="00A46341">
        <w:rPr>
          <w:rFonts w:eastAsia="Times New Roman" w:cs="Courier New"/>
          <w:color w:val="000000"/>
          <w:lang w:eastAsia="en-GB"/>
        </w:rPr>
        <w:t xml:space="preserve">The Prevalence page predicts how many patients in practice you would expect to have true positive, false positive, true negative and false negative results for a given disease prevalence based on the meta-analysis results and helps to give the results some clinical context. </w:t>
      </w:r>
      <w:r w:rsidRPr="00A46341">
        <w:t xml:space="preserve">Use the ‘Meta-analysis’ tab on the ‘Prevalence’ page to identify the expected number of </w:t>
      </w:r>
      <w:r w:rsidRPr="00A46341">
        <w:rPr>
          <w:rFonts w:eastAsia="Times New Roman" w:cs="Courier New"/>
          <w:color w:val="000000"/>
          <w:lang w:eastAsia="en-GB"/>
        </w:rPr>
        <w:t xml:space="preserve">true positive, false positive, true negative and false negative results for a prevalence of 50% and how this would change if prevalence was increased to 70%. </w:t>
      </w:r>
    </w:p>
    <w:sectPr w:rsidR="000E0783" w:rsidRPr="00A46341" w:rsidSect="00150688">
      <w:headerReference w:type="default" r:id="rId9"/>
      <w:pgSz w:w="11906" w:h="16838"/>
      <w:pgMar w:top="1134" w:right="1361" w:bottom="1134"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7B1C" w14:textId="77777777" w:rsidR="00EB4654" w:rsidRDefault="00EB4654" w:rsidP="009B52B5">
      <w:pPr>
        <w:spacing w:after="0" w:line="240" w:lineRule="auto"/>
      </w:pPr>
      <w:r>
        <w:separator/>
      </w:r>
    </w:p>
  </w:endnote>
  <w:endnote w:type="continuationSeparator" w:id="0">
    <w:p w14:paraId="62C8DEC1" w14:textId="77777777" w:rsidR="00EB4654" w:rsidRDefault="00EB4654" w:rsidP="009B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92325" w14:textId="77777777" w:rsidR="00EB4654" w:rsidRDefault="00EB4654" w:rsidP="009B52B5">
      <w:pPr>
        <w:spacing w:after="0" w:line="240" w:lineRule="auto"/>
      </w:pPr>
      <w:r>
        <w:separator/>
      </w:r>
    </w:p>
  </w:footnote>
  <w:footnote w:type="continuationSeparator" w:id="0">
    <w:p w14:paraId="7860A7C1" w14:textId="77777777" w:rsidR="00EB4654" w:rsidRDefault="00EB4654" w:rsidP="009B5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29CC" w14:textId="4B357554" w:rsidR="009B52B5" w:rsidRDefault="009B52B5">
    <w:pPr>
      <w:pStyle w:val="Header"/>
    </w:pPr>
    <w:r>
      <w:t xml:space="preserve">Cochrane </w:t>
    </w:r>
    <w:r w:rsidR="00FC7183">
      <w:t>Colloquium 2023</w:t>
    </w:r>
    <w:r>
      <w:t xml:space="preserve">, </w:t>
    </w:r>
    <w:r w:rsidR="00DC748A">
      <w:t>4</w:t>
    </w:r>
    <w:r w:rsidR="00DC748A" w:rsidRPr="00DC748A">
      <w:rPr>
        <w:vertAlign w:val="superscript"/>
      </w:rPr>
      <w:t>th</w:t>
    </w:r>
    <w:r w:rsidR="00DC748A">
      <w:t xml:space="preserve"> September 2023</w:t>
    </w:r>
  </w:p>
  <w:p w14:paraId="2DE68458" w14:textId="77777777" w:rsidR="009B52B5" w:rsidRDefault="009B5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253"/>
    <w:multiLevelType w:val="hybridMultilevel"/>
    <w:tmpl w:val="85EC1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762DC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7811CF"/>
    <w:multiLevelType w:val="hybridMultilevel"/>
    <w:tmpl w:val="E2EA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C06DA"/>
    <w:multiLevelType w:val="hybridMultilevel"/>
    <w:tmpl w:val="6736EABC"/>
    <w:lvl w:ilvl="0" w:tplc="4600C8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3E43955"/>
    <w:multiLevelType w:val="hybridMultilevel"/>
    <w:tmpl w:val="5C1CFD7E"/>
    <w:lvl w:ilvl="0" w:tplc="7C0419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C6A12AE"/>
    <w:multiLevelType w:val="hybridMultilevel"/>
    <w:tmpl w:val="E0E2BB1A"/>
    <w:lvl w:ilvl="0" w:tplc="E4BA48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5430209"/>
    <w:multiLevelType w:val="hybridMultilevel"/>
    <w:tmpl w:val="92F4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030D7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7"/>
  </w:num>
  <w:num w:numId="3">
    <w:abstractNumId w:val="0"/>
  </w:num>
  <w:num w:numId="4">
    <w:abstractNumId w:val="3"/>
  </w:num>
  <w:num w:numId="5">
    <w:abstractNumId w:val="5"/>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AA3"/>
    <w:rsid w:val="00063D79"/>
    <w:rsid w:val="000E0783"/>
    <w:rsid w:val="000E4BD7"/>
    <w:rsid w:val="0011696D"/>
    <w:rsid w:val="00127D61"/>
    <w:rsid w:val="00150688"/>
    <w:rsid w:val="001A1229"/>
    <w:rsid w:val="001B22E9"/>
    <w:rsid w:val="001F1067"/>
    <w:rsid w:val="002101A0"/>
    <w:rsid w:val="002223B5"/>
    <w:rsid w:val="00257E13"/>
    <w:rsid w:val="002F5CB1"/>
    <w:rsid w:val="003D26FF"/>
    <w:rsid w:val="003F1832"/>
    <w:rsid w:val="003F53DB"/>
    <w:rsid w:val="004120A5"/>
    <w:rsid w:val="004426DB"/>
    <w:rsid w:val="00450F33"/>
    <w:rsid w:val="0045472C"/>
    <w:rsid w:val="00471BC5"/>
    <w:rsid w:val="004F22D7"/>
    <w:rsid w:val="00506456"/>
    <w:rsid w:val="00517AB0"/>
    <w:rsid w:val="00533BB4"/>
    <w:rsid w:val="00553547"/>
    <w:rsid w:val="005A66AE"/>
    <w:rsid w:val="005E00B6"/>
    <w:rsid w:val="005E117F"/>
    <w:rsid w:val="006411D2"/>
    <w:rsid w:val="006F493F"/>
    <w:rsid w:val="00784FB9"/>
    <w:rsid w:val="00796FF9"/>
    <w:rsid w:val="008066E3"/>
    <w:rsid w:val="00833F3F"/>
    <w:rsid w:val="00853690"/>
    <w:rsid w:val="00853AEB"/>
    <w:rsid w:val="00860F25"/>
    <w:rsid w:val="008E2F85"/>
    <w:rsid w:val="00922347"/>
    <w:rsid w:val="00922466"/>
    <w:rsid w:val="00926FBE"/>
    <w:rsid w:val="00976BBB"/>
    <w:rsid w:val="009B52B5"/>
    <w:rsid w:val="009D66B4"/>
    <w:rsid w:val="00A1723C"/>
    <w:rsid w:val="00A355AD"/>
    <w:rsid w:val="00A70AA3"/>
    <w:rsid w:val="00AA5922"/>
    <w:rsid w:val="00AB309F"/>
    <w:rsid w:val="00B0641C"/>
    <w:rsid w:val="00B250D7"/>
    <w:rsid w:val="00C07960"/>
    <w:rsid w:val="00CE3E69"/>
    <w:rsid w:val="00D12A7E"/>
    <w:rsid w:val="00D8001F"/>
    <w:rsid w:val="00DC748A"/>
    <w:rsid w:val="00DF3BC8"/>
    <w:rsid w:val="00EB4654"/>
    <w:rsid w:val="00EB510C"/>
    <w:rsid w:val="00F653F0"/>
    <w:rsid w:val="00FC7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63E5"/>
  <w15:chartTrackingRefBased/>
  <w15:docId w15:val="{3F8F8058-3B64-4297-ABAB-13F9633C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BD7"/>
    <w:pPr>
      <w:ind w:left="720"/>
      <w:contextualSpacing/>
    </w:pPr>
  </w:style>
  <w:style w:type="table" w:styleId="TableGrid">
    <w:name w:val="Table Grid"/>
    <w:basedOn w:val="TableNormal"/>
    <w:uiPriority w:val="39"/>
    <w:rsid w:val="000E4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5CB1"/>
    <w:rPr>
      <w:color w:val="0563C1"/>
      <w:u w:val="single"/>
    </w:rPr>
  </w:style>
  <w:style w:type="paragraph" w:styleId="NormalWeb">
    <w:name w:val="Normal (Web)"/>
    <w:basedOn w:val="Normal"/>
    <w:uiPriority w:val="99"/>
    <w:unhideWhenUsed/>
    <w:rsid w:val="005A66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A66AE"/>
    <w:rPr>
      <w:b/>
      <w:bCs/>
    </w:rPr>
  </w:style>
  <w:style w:type="character" w:styleId="FollowedHyperlink">
    <w:name w:val="FollowedHyperlink"/>
    <w:basedOn w:val="DefaultParagraphFont"/>
    <w:uiPriority w:val="99"/>
    <w:semiHidden/>
    <w:unhideWhenUsed/>
    <w:rsid w:val="00EB510C"/>
    <w:rPr>
      <w:color w:val="954F72" w:themeColor="followedHyperlink"/>
      <w:u w:val="single"/>
    </w:rPr>
  </w:style>
  <w:style w:type="character" w:styleId="CommentReference">
    <w:name w:val="annotation reference"/>
    <w:basedOn w:val="DefaultParagraphFont"/>
    <w:uiPriority w:val="99"/>
    <w:semiHidden/>
    <w:unhideWhenUsed/>
    <w:rsid w:val="00EB510C"/>
    <w:rPr>
      <w:sz w:val="16"/>
      <w:szCs w:val="16"/>
    </w:rPr>
  </w:style>
  <w:style w:type="paragraph" w:styleId="CommentText">
    <w:name w:val="annotation text"/>
    <w:basedOn w:val="Normal"/>
    <w:link w:val="CommentTextChar"/>
    <w:uiPriority w:val="99"/>
    <w:semiHidden/>
    <w:unhideWhenUsed/>
    <w:rsid w:val="00EB510C"/>
    <w:pPr>
      <w:spacing w:line="240" w:lineRule="auto"/>
    </w:pPr>
    <w:rPr>
      <w:sz w:val="20"/>
      <w:szCs w:val="20"/>
    </w:rPr>
  </w:style>
  <w:style w:type="character" w:customStyle="1" w:styleId="CommentTextChar">
    <w:name w:val="Comment Text Char"/>
    <w:basedOn w:val="DefaultParagraphFont"/>
    <w:link w:val="CommentText"/>
    <w:uiPriority w:val="99"/>
    <w:semiHidden/>
    <w:rsid w:val="00EB510C"/>
    <w:rPr>
      <w:sz w:val="20"/>
      <w:szCs w:val="20"/>
    </w:rPr>
  </w:style>
  <w:style w:type="paragraph" w:styleId="CommentSubject">
    <w:name w:val="annotation subject"/>
    <w:basedOn w:val="CommentText"/>
    <w:next w:val="CommentText"/>
    <w:link w:val="CommentSubjectChar"/>
    <w:uiPriority w:val="99"/>
    <w:semiHidden/>
    <w:unhideWhenUsed/>
    <w:rsid w:val="00EB510C"/>
    <w:rPr>
      <w:b/>
      <w:bCs/>
    </w:rPr>
  </w:style>
  <w:style w:type="character" w:customStyle="1" w:styleId="CommentSubjectChar">
    <w:name w:val="Comment Subject Char"/>
    <w:basedOn w:val="CommentTextChar"/>
    <w:link w:val="CommentSubject"/>
    <w:uiPriority w:val="99"/>
    <w:semiHidden/>
    <w:rsid w:val="00EB510C"/>
    <w:rPr>
      <w:b/>
      <w:bCs/>
      <w:sz w:val="20"/>
      <w:szCs w:val="20"/>
    </w:rPr>
  </w:style>
  <w:style w:type="paragraph" w:styleId="BalloonText">
    <w:name w:val="Balloon Text"/>
    <w:basedOn w:val="Normal"/>
    <w:link w:val="BalloonTextChar"/>
    <w:uiPriority w:val="99"/>
    <w:semiHidden/>
    <w:unhideWhenUsed/>
    <w:rsid w:val="00EB5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10C"/>
    <w:rPr>
      <w:rFonts w:ascii="Segoe UI" w:hAnsi="Segoe UI" w:cs="Segoe UI"/>
      <w:sz w:val="18"/>
      <w:szCs w:val="18"/>
    </w:rPr>
  </w:style>
  <w:style w:type="paragraph" w:styleId="Header">
    <w:name w:val="header"/>
    <w:basedOn w:val="Normal"/>
    <w:link w:val="HeaderChar"/>
    <w:uiPriority w:val="99"/>
    <w:unhideWhenUsed/>
    <w:rsid w:val="009B5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2B5"/>
  </w:style>
  <w:style w:type="paragraph" w:styleId="Footer">
    <w:name w:val="footer"/>
    <w:basedOn w:val="Normal"/>
    <w:link w:val="FooterChar"/>
    <w:uiPriority w:val="99"/>
    <w:unhideWhenUsed/>
    <w:rsid w:val="009B5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224138">
      <w:bodyDiv w:val="1"/>
      <w:marLeft w:val="0"/>
      <w:marRight w:val="0"/>
      <w:marTop w:val="0"/>
      <w:marBottom w:val="0"/>
      <w:divBdr>
        <w:top w:val="none" w:sz="0" w:space="0" w:color="auto"/>
        <w:left w:val="none" w:sz="0" w:space="0" w:color="auto"/>
        <w:bottom w:val="none" w:sz="0" w:space="0" w:color="auto"/>
        <w:right w:val="none" w:sz="0" w:space="0" w:color="auto"/>
      </w:divBdr>
    </w:div>
    <w:div w:id="1512792121">
      <w:bodyDiv w:val="1"/>
      <w:marLeft w:val="0"/>
      <w:marRight w:val="0"/>
      <w:marTop w:val="0"/>
      <w:marBottom w:val="0"/>
      <w:divBdr>
        <w:top w:val="none" w:sz="0" w:space="0" w:color="auto"/>
        <w:left w:val="none" w:sz="0" w:space="0" w:color="auto"/>
        <w:bottom w:val="none" w:sz="0" w:space="0" w:color="auto"/>
        <w:right w:val="none" w:sz="0" w:space="0" w:color="auto"/>
      </w:divBdr>
    </w:div>
    <w:div w:id="20628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su.shinyapps.io/dta_ma/" TargetMode="External"/><Relationship Id="rId3" Type="http://schemas.openxmlformats.org/officeDocument/2006/relationships/settings" Target="settings.xml"/><Relationship Id="rId7" Type="http://schemas.openxmlformats.org/officeDocument/2006/relationships/hyperlink" Target="https://crsu.shinyapps.io/diagprim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Suzanne C.</dc:creator>
  <cp:keywords/>
  <dc:description/>
  <cp:lastModifiedBy>Freeman, Suzanne C. (Dr.)</cp:lastModifiedBy>
  <cp:revision>7</cp:revision>
  <dcterms:created xsi:type="dcterms:W3CDTF">2019-11-12T16:23:00Z</dcterms:created>
  <dcterms:modified xsi:type="dcterms:W3CDTF">2023-08-07T11:21:00Z</dcterms:modified>
</cp:coreProperties>
</file>